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D369" w14:textId="77777777" w:rsidR="00F70169" w:rsidRPr="00816DDD" w:rsidRDefault="00F70169" w:rsidP="000E660D">
      <w:pPr>
        <w:spacing w:after="0" w:line="240" w:lineRule="auto"/>
        <w:jc w:val="center"/>
        <w:rPr>
          <w:rFonts w:eastAsia="+mn-ea"/>
          <w:b/>
          <w:bCs/>
          <w:kern w:val="24"/>
          <w:sz w:val="28"/>
          <w:lang w:eastAsia="en-CA"/>
        </w:rPr>
      </w:pPr>
      <w:bookmarkStart w:id="0" w:name="_Hlk140223977"/>
      <w:r w:rsidRPr="00816DDD">
        <w:rPr>
          <w:rFonts w:eastAsia="+mn-ea" w:hint="cs"/>
          <w:b/>
          <w:bCs/>
          <w:kern w:val="24"/>
          <w:sz w:val="28"/>
          <w:lang w:eastAsia="en-CA"/>
        </w:rPr>
        <w:t>Hedging Financial Risk Using Derivatives</w:t>
      </w:r>
    </w:p>
    <w:bookmarkEnd w:id="0"/>
    <w:p w14:paraId="329F0A77" w14:textId="77777777" w:rsidR="006B7F7E" w:rsidRPr="00816DDD" w:rsidRDefault="006B7F7E" w:rsidP="000E660D">
      <w:pPr>
        <w:spacing w:after="0" w:line="240" w:lineRule="auto"/>
        <w:rPr>
          <w:rFonts w:eastAsia="+mn-ea"/>
          <w:kern w:val="24"/>
          <w:szCs w:val="24"/>
          <w:lang w:eastAsia="en-CA"/>
        </w:rPr>
      </w:pPr>
    </w:p>
    <w:p w14:paraId="44D9F2B5" w14:textId="7DE34842" w:rsidR="004A4A75" w:rsidRDefault="004A4A75" w:rsidP="000E660D">
      <w:pPr>
        <w:widowControl w:val="0"/>
        <w:spacing w:after="0" w:line="240" w:lineRule="auto"/>
        <w:rPr>
          <w:b/>
          <w:szCs w:val="24"/>
        </w:rPr>
      </w:pPr>
      <w:r>
        <w:rPr>
          <w:b/>
          <w:szCs w:val="24"/>
        </w:rPr>
        <w:t>Learning Outcomes</w:t>
      </w:r>
    </w:p>
    <w:p w14:paraId="35817F52" w14:textId="755B8EA9" w:rsidR="004A4A75" w:rsidRDefault="003C4EC4" w:rsidP="000E660D">
      <w:pPr>
        <w:widowControl w:val="0"/>
        <w:spacing w:after="0" w:line="240" w:lineRule="auto"/>
        <w:rPr>
          <w:b/>
          <w:szCs w:val="24"/>
        </w:rPr>
      </w:pPr>
      <w:r>
        <w:rPr>
          <w:szCs w:val="24"/>
        </w:rPr>
        <w:pict w14:anchorId="15B2545F">
          <v:rect id="_x0000_i1027" style="width:0;height:1.5pt" o:hralign="center" o:hrstd="t" o:hr="t" fillcolor="#a0a0a0" stroked="f"/>
        </w:pict>
      </w:r>
    </w:p>
    <w:p w14:paraId="6E5C3963" w14:textId="77777777" w:rsidR="004A4A75" w:rsidRDefault="004A4A75" w:rsidP="004517FF">
      <w:pPr>
        <w:widowControl w:val="0"/>
        <w:spacing w:after="0" w:line="240" w:lineRule="auto"/>
        <w:rPr>
          <w:b/>
          <w:szCs w:val="24"/>
        </w:rPr>
      </w:pPr>
    </w:p>
    <w:p w14:paraId="113CA176" w14:textId="7647D64C" w:rsidR="004A4A75" w:rsidRPr="004A4A75" w:rsidRDefault="004A4A75" w:rsidP="004517FF">
      <w:pPr>
        <w:widowControl w:val="0"/>
        <w:spacing w:after="0" w:line="240" w:lineRule="auto"/>
        <w:rPr>
          <w:bCs/>
          <w:szCs w:val="24"/>
        </w:rPr>
      </w:pPr>
      <w:r w:rsidRPr="004A4A75">
        <w:rPr>
          <w:bCs/>
          <w:szCs w:val="24"/>
        </w:rPr>
        <w:t>After completing this module, students will be able to:</w:t>
      </w:r>
    </w:p>
    <w:p w14:paraId="2019BD2D" w14:textId="77777777" w:rsidR="004A4A75" w:rsidRPr="004A4A75" w:rsidRDefault="004A4A75" w:rsidP="004517FF">
      <w:pPr>
        <w:widowControl w:val="0"/>
        <w:spacing w:after="0" w:line="240" w:lineRule="auto"/>
        <w:rPr>
          <w:bCs/>
          <w:szCs w:val="24"/>
        </w:rPr>
      </w:pPr>
    </w:p>
    <w:p w14:paraId="7B77A8EF" w14:textId="77777777" w:rsidR="004517FF" w:rsidRPr="004517FF" w:rsidRDefault="004A4A75" w:rsidP="004517FF">
      <w:pPr>
        <w:pStyle w:val="ListParagraph"/>
        <w:widowControl w:val="0"/>
        <w:numPr>
          <w:ilvl w:val="0"/>
          <w:numId w:val="36"/>
        </w:numPr>
        <w:spacing w:after="0" w:line="240" w:lineRule="auto"/>
        <w:rPr>
          <w:rFonts w:ascii="Gisha" w:hAnsi="Gisha" w:cs="Gisha"/>
          <w:bCs/>
          <w:sz w:val="24"/>
          <w:szCs w:val="24"/>
        </w:rPr>
      </w:pPr>
      <w:r w:rsidRPr="004517FF">
        <w:rPr>
          <w:rFonts w:ascii="Gisha" w:hAnsi="Gisha" w:cs="Gisha" w:hint="cs"/>
          <w:bCs/>
          <w:sz w:val="24"/>
          <w:szCs w:val="24"/>
        </w:rPr>
        <w:t>Differentiate between strategic, operational, hazard, and financial</w:t>
      </w:r>
      <w:r w:rsidR="004517FF" w:rsidRPr="004517FF">
        <w:rPr>
          <w:rFonts w:ascii="Gisha" w:hAnsi="Gisha" w:cs="Gisha" w:hint="cs"/>
          <w:bCs/>
          <w:sz w:val="24"/>
          <w:szCs w:val="24"/>
        </w:rPr>
        <w:t xml:space="preserve"> risk</w:t>
      </w:r>
      <w:r w:rsidRPr="004517FF">
        <w:rPr>
          <w:rFonts w:ascii="Gisha" w:hAnsi="Gisha" w:cs="Gisha" w:hint="cs"/>
          <w:bCs/>
          <w:sz w:val="24"/>
          <w:szCs w:val="24"/>
        </w:rPr>
        <w:t>.</w:t>
      </w:r>
    </w:p>
    <w:p w14:paraId="766C0CEE" w14:textId="69E46EB3" w:rsidR="004A4A75" w:rsidRPr="004517FF" w:rsidRDefault="004517FF" w:rsidP="004517FF">
      <w:pPr>
        <w:pStyle w:val="ListParagraph"/>
        <w:widowControl w:val="0"/>
        <w:numPr>
          <w:ilvl w:val="0"/>
          <w:numId w:val="36"/>
        </w:numPr>
        <w:spacing w:after="0" w:line="240" w:lineRule="auto"/>
        <w:rPr>
          <w:rFonts w:ascii="Gisha" w:hAnsi="Gisha" w:cs="Gisha"/>
          <w:bCs/>
          <w:sz w:val="24"/>
          <w:szCs w:val="24"/>
        </w:rPr>
      </w:pPr>
      <w:r w:rsidRPr="004517FF">
        <w:rPr>
          <w:rFonts w:ascii="Gisha" w:hAnsi="Gisha" w:cs="Gisha" w:hint="cs"/>
          <w:bCs/>
          <w:sz w:val="24"/>
          <w:szCs w:val="24"/>
        </w:rPr>
        <w:t>Explain</w:t>
      </w:r>
      <w:r w:rsidR="004A4A75" w:rsidRPr="004517FF">
        <w:rPr>
          <w:rFonts w:ascii="Gisha" w:hAnsi="Gisha" w:cs="Gisha" w:hint="cs"/>
          <w:bCs/>
          <w:sz w:val="24"/>
          <w:szCs w:val="24"/>
        </w:rPr>
        <w:t xml:space="preserve"> the types of business insurance used to manage hazard risk.</w:t>
      </w:r>
    </w:p>
    <w:p w14:paraId="03016582" w14:textId="5FD439DF" w:rsidR="004517FF" w:rsidRPr="004517FF" w:rsidRDefault="004517FF" w:rsidP="004517FF">
      <w:pPr>
        <w:pStyle w:val="ListParagraph"/>
        <w:widowControl w:val="0"/>
        <w:numPr>
          <w:ilvl w:val="0"/>
          <w:numId w:val="36"/>
        </w:numPr>
        <w:spacing w:after="0" w:line="240" w:lineRule="auto"/>
        <w:rPr>
          <w:rFonts w:ascii="Gisha" w:hAnsi="Gisha" w:cs="Gisha"/>
          <w:bCs/>
          <w:sz w:val="24"/>
          <w:szCs w:val="24"/>
        </w:rPr>
      </w:pPr>
      <w:r w:rsidRPr="004517FF">
        <w:rPr>
          <w:rFonts w:ascii="Gisha" w:hAnsi="Gisha" w:cs="Gisha" w:hint="cs"/>
          <w:bCs/>
          <w:sz w:val="24"/>
          <w:szCs w:val="24"/>
        </w:rPr>
        <w:t>Describe th</w:t>
      </w:r>
      <w:r w:rsidR="008A7ADF">
        <w:rPr>
          <w:rFonts w:ascii="Gisha" w:hAnsi="Gisha" w:cs="Gisha"/>
          <w:bCs/>
          <w:sz w:val="24"/>
          <w:szCs w:val="24"/>
        </w:rPr>
        <w:t xml:space="preserve">e structure of </w:t>
      </w:r>
      <w:r>
        <w:rPr>
          <w:rFonts w:ascii="Gisha" w:hAnsi="Gisha" w:cs="Gisha"/>
          <w:bCs/>
          <w:sz w:val="24"/>
          <w:szCs w:val="24"/>
        </w:rPr>
        <w:t xml:space="preserve">the foreign exchange market and </w:t>
      </w:r>
      <w:r w:rsidR="00B95D1D">
        <w:rPr>
          <w:rFonts w:ascii="Gisha" w:hAnsi="Gisha" w:cs="Gisha"/>
          <w:bCs/>
          <w:sz w:val="24"/>
          <w:szCs w:val="24"/>
        </w:rPr>
        <w:t xml:space="preserve">how </w:t>
      </w:r>
      <w:r w:rsidR="008A7ADF">
        <w:rPr>
          <w:rFonts w:ascii="Gisha" w:hAnsi="Gisha" w:cs="Gisha"/>
          <w:bCs/>
          <w:sz w:val="24"/>
          <w:szCs w:val="24"/>
        </w:rPr>
        <w:t xml:space="preserve">different </w:t>
      </w:r>
      <w:r>
        <w:rPr>
          <w:rFonts w:ascii="Gisha" w:hAnsi="Gisha" w:cs="Gisha"/>
          <w:bCs/>
          <w:sz w:val="24"/>
          <w:szCs w:val="24"/>
        </w:rPr>
        <w:t>exchange rate</w:t>
      </w:r>
      <w:r w:rsidR="00B95D1D">
        <w:rPr>
          <w:rFonts w:ascii="Gisha" w:hAnsi="Gisha" w:cs="Gisha"/>
          <w:bCs/>
          <w:sz w:val="24"/>
          <w:szCs w:val="24"/>
        </w:rPr>
        <w:t>s</w:t>
      </w:r>
      <w:r>
        <w:rPr>
          <w:rFonts w:ascii="Gisha" w:hAnsi="Gisha" w:cs="Gisha"/>
          <w:bCs/>
          <w:sz w:val="24"/>
          <w:szCs w:val="24"/>
        </w:rPr>
        <w:t xml:space="preserve"> </w:t>
      </w:r>
      <w:r w:rsidR="00B95D1D">
        <w:rPr>
          <w:rFonts w:ascii="Gisha" w:hAnsi="Gisha" w:cs="Gisha"/>
          <w:bCs/>
          <w:sz w:val="24"/>
          <w:szCs w:val="24"/>
        </w:rPr>
        <w:t xml:space="preserve">are </w:t>
      </w:r>
      <w:r>
        <w:rPr>
          <w:rFonts w:ascii="Gisha" w:hAnsi="Gisha" w:cs="Gisha"/>
          <w:bCs/>
          <w:sz w:val="24"/>
          <w:szCs w:val="24"/>
        </w:rPr>
        <w:t>quot</w:t>
      </w:r>
      <w:r w:rsidR="00B95D1D">
        <w:rPr>
          <w:rFonts w:ascii="Gisha" w:hAnsi="Gisha" w:cs="Gisha"/>
          <w:bCs/>
          <w:sz w:val="24"/>
          <w:szCs w:val="24"/>
        </w:rPr>
        <w:t>ed</w:t>
      </w:r>
      <w:r>
        <w:rPr>
          <w:rFonts w:ascii="Gisha" w:hAnsi="Gisha" w:cs="Gisha"/>
          <w:bCs/>
          <w:sz w:val="24"/>
          <w:szCs w:val="24"/>
        </w:rPr>
        <w:t>.</w:t>
      </w:r>
    </w:p>
    <w:p w14:paraId="318714FC" w14:textId="47F9285A" w:rsidR="004A4A75" w:rsidRPr="004517FF" w:rsidRDefault="004A4A75" w:rsidP="004517FF">
      <w:pPr>
        <w:pStyle w:val="ListParagraph"/>
        <w:widowControl w:val="0"/>
        <w:numPr>
          <w:ilvl w:val="0"/>
          <w:numId w:val="36"/>
        </w:numPr>
        <w:spacing w:after="0" w:line="240" w:lineRule="auto"/>
        <w:rPr>
          <w:rFonts w:ascii="Gisha" w:hAnsi="Gisha" w:cs="Gisha"/>
          <w:bCs/>
          <w:sz w:val="24"/>
          <w:szCs w:val="24"/>
        </w:rPr>
      </w:pPr>
      <w:r w:rsidRPr="004517FF">
        <w:rPr>
          <w:rFonts w:ascii="Gisha" w:hAnsi="Gisha" w:cs="Gisha" w:hint="cs"/>
          <w:bCs/>
          <w:sz w:val="24"/>
          <w:szCs w:val="24"/>
        </w:rPr>
        <w:t>Hedge exchange rate risk using forwards, futures, swaps, options, and natural hedges.</w:t>
      </w:r>
    </w:p>
    <w:p w14:paraId="3106366A" w14:textId="6E5C166B" w:rsidR="004A4A75" w:rsidRPr="004517FF" w:rsidRDefault="004A4A75" w:rsidP="004517FF">
      <w:pPr>
        <w:pStyle w:val="ListParagraph"/>
        <w:widowControl w:val="0"/>
        <w:numPr>
          <w:ilvl w:val="0"/>
          <w:numId w:val="36"/>
        </w:numPr>
        <w:spacing w:after="0" w:line="240" w:lineRule="auto"/>
        <w:rPr>
          <w:rFonts w:ascii="Gisha" w:hAnsi="Gisha" w:cs="Gisha"/>
          <w:bCs/>
          <w:sz w:val="24"/>
          <w:szCs w:val="24"/>
        </w:rPr>
      </w:pPr>
      <w:r w:rsidRPr="004517FF">
        <w:rPr>
          <w:rFonts w:ascii="Gisha" w:hAnsi="Gisha" w:cs="Gisha" w:hint="cs"/>
          <w:bCs/>
          <w:sz w:val="24"/>
          <w:szCs w:val="24"/>
        </w:rPr>
        <w:t>Hedge interest rate risk using swaps, caps, floors, and collars.</w:t>
      </w:r>
    </w:p>
    <w:p w14:paraId="13063E7A" w14:textId="5AB443C0" w:rsidR="004A4A75" w:rsidRPr="004517FF" w:rsidRDefault="004A4A75" w:rsidP="004517FF">
      <w:pPr>
        <w:pStyle w:val="ListParagraph"/>
        <w:widowControl w:val="0"/>
        <w:numPr>
          <w:ilvl w:val="0"/>
          <w:numId w:val="36"/>
        </w:numPr>
        <w:spacing w:after="0" w:line="240" w:lineRule="auto"/>
        <w:rPr>
          <w:rFonts w:ascii="Gisha" w:hAnsi="Gisha" w:cs="Gisha"/>
          <w:bCs/>
          <w:sz w:val="24"/>
          <w:szCs w:val="24"/>
        </w:rPr>
      </w:pPr>
      <w:r w:rsidRPr="004517FF">
        <w:rPr>
          <w:rFonts w:ascii="Gisha" w:hAnsi="Gisha" w:cs="Gisha" w:hint="cs"/>
          <w:bCs/>
          <w:sz w:val="24"/>
          <w:szCs w:val="24"/>
        </w:rPr>
        <w:t>Hedge commodity risk using futures, options, and long-term supply contracts.</w:t>
      </w:r>
    </w:p>
    <w:p w14:paraId="49BDB379" w14:textId="77777777" w:rsidR="004A4A75" w:rsidRDefault="004A4A75" w:rsidP="000E660D">
      <w:pPr>
        <w:widowControl w:val="0"/>
        <w:spacing w:after="0" w:line="240" w:lineRule="auto"/>
        <w:rPr>
          <w:b/>
          <w:szCs w:val="24"/>
        </w:rPr>
      </w:pPr>
    </w:p>
    <w:p w14:paraId="4DF92FFE" w14:textId="7840F0A1" w:rsidR="00912FA6" w:rsidRPr="00816DDD" w:rsidRDefault="00912FA6" w:rsidP="000E660D">
      <w:pPr>
        <w:widowControl w:val="0"/>
        <w:spacing w:after="0" w:line="240" w:lineRule="auto"/>
        <w:rPr>
          <w:b/>
          <w:szCs w:val="24"/>
        </w:rPr>
      </w:pPr>
      <w:r w:rsidRPr="00816DDD">
        <w:rPr>
          <w:rFonts w:hint="cs"/>
          <w:b/>
          <w:szCs w:val="24"/>
        </w:rPr>
        <w:t>Introduction</w:t>
      </w:r>
    </w:p>
    <w:p w14:paraId="6BB2F53E" w14:textId="77777777" w:rsidR="00912FA6" w:rsidRPr="00816DDD" w:rsidRDefault="003C4EC4" w:rsidP="000E660D">
      <w:pPr>
        <w:widowControl w:val="0"/>
        <w:spacing w:after="0" w:line="240" w:lineRule="auto"/>
        <w:rPr>
          <w:szCs w:val="24"/>
        </w:rPr>
      </w:pPr>
      <w:r>
        <w:rPr>
          <w:szCs w:val="24"/>
        </w:rPr>
        <w:pict w14:anchorId="2C7CE20F">
          <v:rect id="_x0000_i1028" style="width:0;height:1.5pt" o:hralign="center" o:hrstd="t" o:hr="t" fillcolor="#a0a0a0" stroked="f"/>
        </w:pict>
      </w:r>
    </w:p>
    <w:p w14:paraId="4B7740C9" w14:textId="77777777" w:rsidR="00912FA6" w:rsidRPr="00816DDD" w:rsidRDefault="00912FA6" w:rsidP="000E660D">
      <w:pPr>
        <w:widowControl w:val="0"/>
        <w:spacing w:after="0" w:line="240" w:lineRule="auto"/>
        <w:rPr>
          <w:szCs w:val="24"/>
        </w:rPr>
      </w:pPr>
    </w:p>
    <w:p w14:paraId="10573AA6" w14:textId="768A0118" w:rsidR="007E50DE" w:rsidRPr="00816DDD" w:rsidRDefault="004E0963" w:rsidP="000E660D">
      <w:pPr>
        <w:spacing w:after="0" w:line="240" w:lineRule="auto"/>
        <w:ind w:right="-36"/>
        <w:rPr>
          <w:szCs w:val="24"/>
        </w:rPr>
      </w:pPr>
      <w:r w:rsidRPr="00816DDD">
        <w:rPr>
          <w:rFonts w:eastAsia="+mn-ea" w:hint="cs"/>
          <w:kern w:val="24"/>
          <w:szCs w:val="24"/>
          <w:lang w:eastAsia="en-CA"/>
        </w:rPr>
        <w:t xml:space="preserve">Companies </w:t>
      </w:r>
      <w:r w:rsidR="000B6E1B" w:rsidRPr="00816DDD">
        <w:rPr>
          <w:rFonts w:eastAsia="+mn-ea" w:hint="cs"/>
          <w:kern w:val="24"/>
          <w:szCs w:val="24"/>
          <w:lang w:eastAsia="en-CA"/>
        </w:rPr>
        <w:t xml:space="preserve">are exposed to </w:t>
      </w:r>
      <w:r w:rsidR="00F0250F" w:rsidRPr="00816DDD">
        <w:rPr>
          <w:rFonts w:eastAsia="+mn-ea" w:hint="cs"/>
          <w:kern w:val="24"/>
          <w:szCs w:val="24"/>
          <w:lang w:eastAsia="en-CA"/>
        </w:rPr>
        <w:t>a</w:t>
      </w:r>
      <w:r w:rsidR="00D62C61" w:rsidRPr="00816DDD">
        <w:rPr>
          <w:rFonts w:eastAsia="+mn-ea" w:hint="cs"/>
          <w:kern w:val="24"/>
          <w:szCs w:val="24"/>
          <w:lang w:eastAsia="en-CA"/>
        </w:rPr>
        <w:t xml:space="preserve">n array </w:t>
      </w:r>
      <w:r w:rsidR="00F0250F" w:rsidRPr="00816DDD">
        <w:rPr>
          <w:rFonts w:eastAsia="+mn-ea" w:hint="cs"/>
          <w:kern w:val="24"/>
          <w:szCs w:val="24"/>
          <w:lang w:eastAsia="en-CA"/>
        </w:rPr>
        <w:t xml:space="preserve">of </w:t>
      </w:r>
      <w:r w:rsidR="008661D8" w:rsidRPr="00816DDD">
        <w:rPr>
          <w:rFonts w:eastAsia="+mn-ea" w:hint="cs"/>
          <w:kern w:val="24"/>
          <w:szCs w:val="24"/>
          <w:lang w:eastAsia="en-CA"/>
        </w:rPr>
        <w:t xml:space="preserve">business </w:t>
      </w:r>
      <w:r w:rsidR="000B6E1B" w:rsidRPr="00816DDD">
        <w:rPr>
          <w:rFonts w:eastAsia="+mn-ea" w:hint="cs"/>
          <w:kern w:val="24"/>
          <w:szCs w:val="24"/>
          <w:lang w:eastAsia="en-CA"/>
        </w:rPr>
        <w:t>risks that</w:t>
      </w:r>
      <w:r w:rsidR="007C3EF4" w:rsidRPr="00816DDD">
        <w:rPr>
          <w:rFonts w:eastAsia="+mn-ea" w:hint="cs"/>
          <w:kern w:val="24"/>
          <w:szCs w:val="24"/>
          <w:lang w:eastAsia="en-CA"/>
        </w:rPr>
        <w:t xml:space="preserve"> </w:t>
      </w:r>
      <w:r w:rsidR="000102FC" w:rsidRPr="00816DDD">
        <w:rPr>
          <w:rFonts w:eastAsia="+mn-ea"/>
          <w:kern w:val="24"/>
          <w:szCs w:val="24"/>
          <w:lang w:eastAsia="en-CA"/>
        </w:rPr>
        <w:t>can</w:t>
      </w:r>
      <w:r w:rsidR="00D62C61" w:rsidRPr="00816DDD">
        <w:rPr>
          <w:rFonts w:eastAsia="+mn-ea" w:hint="cs"/>
          <w:kern w:val="24"/>
          <w:szCs w:val="24"/>
          <w:lang w:eastAsia="en-CA"/>
        </w:rPr>
        <w:t xml:space="preserve"> </w:t>
      </w:r>
      <w:r w:rsidR="00EF42DE" w:rsidRPr="00816DDD">
        <w:rPr>
          <w:rFonts w:eastAsia="+mn-ea" w:hint="cs"/>
          <w:kern w:val="24"/>
          <w:szCs w:val="24"/>
          <w:lang w:eastAsia="en-CA"/>
        </w:rPr>
        <w:t xml:space="preserve">cause </w:t>
      </w:r>
      <w:r w:rsidR="00DB17B0">
        <w:rPr>
          <w:rFonts w:eastAsia="+mn-ea"/>
          <w:kern w:val="24"/>
          <w:szCs w:val="24"/>
          <w:lang w:eastAsia="en-CA"/>
        </w:rPr>
        <w:t>severe</w:t>
      </w:r>
      <w:r w:rsidR="000B6E1B" w:rsidRPr="00816DDD">
        <w:rPr>
          <w:rFonts w:eastAsia="+mn-ea" w:hint="cs"/>
          <w:kern w:val="24"/>
          <w:szCs w:val="24"/>
          <w:lang w:eastAsia="en-CA"/>
        </w:rPr>
        <w:t xml:space="preserve"> financial distress if not</w:t>
      </w:r>
      <w:r w:rsidR="00E81FFE" w:rsidRPr="00816DDD">
        <w:rPr>
          <w:rFonts w:eastAsia="+mn-ea" w:hint="cs"/>
          <w:kern w:val="24"/>
          <w:szCs w:val="24"/>
          <w:lang w:eastAsia="en-CA"/>
        </w:rPr>
        <w:t xml:space="preserve"> </w:t>
      </w:r>
      <w:r w:rsidR="00657D5C">
        <w:rPr>
          <w:rFonts w:eastAsia="+mn-ea"/>
          <w:kern w:val="24"/>
          <w:szCs w:val="24"/>
          <w:lang w:eastAsia="en-CA"/>
        </w:rPr>
        <w:t>adequately</w:t>
      </w:r>
      <w:r w:rsidR="006C3765" w:rsidRPr="00816DDD">
        <w:rPr>
          <w:rFonts w:eastAsia="+mn-ea"/>
          <w:kern w:val="24"/>
          <w:szCs w:val="24"/>
          <w:lang w:eastAsia="en-CA"/>
        </w:rPr>
        <w:t xml:space="preserve"> </w:t>
      </w:r>
      <w:r w:rsidR="007C3EF4" w:rsidRPr="00816DDD">
        <w:rPr>
          <w:rFonts w:eastAsia="+mn-ea" w:hint="cs"/>
          <w:kern w:val="24"/>
          <w:szCs w:val="24"/>
          <w:lang w:eastAsia="en-CA"/>
        </w:rPr>
        <w:t>controlled</w:t>
      </w:r>
      <w:r w:rsidR="000B6E1B" w:rsidRPr="00816DDD">
        <w:rPr>
          <w:rFonts w:eastAsia="+mn-ea" w:hint="cs"/>
          <w:kern w:val="24"/>
          <w:szCs w:val="24"/>
          <w:lang w:eastAsia="en-CA"/>
        </w:rPr>
        <w:t xml:space="preserve">.  </w:t>
      </w:r>
      <w:r w:rsidRPr="00816DDD">
        <w:rPr>
          <w:rFonts w:eastAsia="+mn-ea" w:hint="cs"/>
          <w:kern w:val="24"/>
          <w:szCs w:val="24"/>
          <w:lang w:eastAsia="en-CA"/>
        </w:rPr>
        <w:t xml:space="preserve">In the past, </w:t>
      </w:r>
      <w:r w:rsidRPr="00816DDD">
        <w:rPr>
          <w:rFonts w:hint="cs"/>
          <w:szCs w:val="24"/>
        </w:rPr>
        <w:t>t</w:t>
      </w:r>
      <w:r w:rsidR="00F0250F" w:rsidRPr="00816DDD">
        <w:rPr>
          <w:rFonts w:hint="cs"/>
          <w:szCs w:val="24"/>
        </w:rPr>
        <w:t>hese risks were</w:t>
      </w:r>
      <w:r w:rsidR="000102FC" w:rsidRPr="00816DDD">
        <w:rPr>
          <w:szCs w:val="24"/>
        </w:rPr>
        <w:t xml:space="preserve"> </w:t>
      </w:r>
      <w:r w:rsidR="00E81FFE" w:rsidRPr="00816DDD">
        <w:rPr>
          <w:rFonts w:hint="cs"/>
          <w:szCs w:val="24"/>
        </w:rPr>
        <w:t xml:space="preserve">managed </w:t>
      </w:r>
      <w:r w:rsidR="00AA0B27">
        <w:rPr>
          <w:szCs w:val="24"/>
        </w:rPr>
        <w:t>piecemeal</w:t>
      </w:r>
      <w:r w:rsidR="00807A8B" w:rsidRPr="00816DDD">
        <w:rPr>
          <w:szCs w:val="24"/>
        </w:rPr>
        <w:t xml:space="preserve"> </w:t>
      </w:r>
      <w:r w:rsidR="00F0250F" w:rsidRPr="00816DDD">
        <w:rPr>
          <w:rFonts w:hint="cs"/>
          <w:szCs w:val="24"/>
        </w:rPr>
        <w:t>by</w:t>
      </w:r>
      <w:r w:rsidR="00807A8B" w:rsidRPr="00816DDD">
        <w:rPr>
          <w:szCs w:val="24"/>
        </w:rPr>
        <w:t xml:space="preserve"> </w:t>
      </w:r>
      <w:r w:rsidR="0007066B" w:rsidRPr="00816DDD">
        <w:rPr>
          <w:rFonts w:hint="cs"/>
          <w:szCs w:val="24"/>
        </w:rPr>
        <w:t xml:space="preserve">lower-level </w:t>
      </w:r>
      <w:r w:rsidR="002D565E" w:rsidRPr="00816DDD">
        <w:rPr>
          <w:rFonts w:hint="cs"/>
          <w:szCs w:val="24"/>
        </w:rPr>
        <w:t>managers</w:t>
      </w:r>
      <w:r w:rsidR="000102FC" w:rsidRPr="00816DDD">
        <w:rPr>
          <w:szCs w:val="24"/>
        </w:rPr>
        <w:t xml:space="preserve"> </w:t>
      </w:r>
      <w:r w:rsidR="00EF42DE" w:rsidRPr="00816DDD">
        <w:rPr>
          <w:rFonts w:hint="cs"/>
          <w:szCs w:val="24"/>
        </w:rPr>
        <w:t>working</w:t>
      </w:r>
      <w:r w:rsidR="00D022B6" w:rsidRPr="00816DDD">
        <w:rPr>
          <w:rFonts w:hint="cs"/>
          <w:szCs w:val="24"/>
        </w:rPr>
        <w:t xml:space="preserve"> independently</w:t>
      </w:r>
      <w:r w:rsidR="007E50DE" w:rsidRPr="00816DDD">
        <w:rPr>
          <w:szCs w:val="24"/>
        </w:rPr>
        <w:t xml:space="preserve"> of each other</w:t>
      </w:r>
      <w:r w:rsidR="002D565E" w:rsidRPr="00816DDD">
        <w:rPr>
          <w:rFonts w:hint="cs"/>
          <w:szCs w:val="24"/>
        </w:rPr>
        <w:t xml:space="preserve">. </w:t>
      </w:r>
      <w:r w:rsidR="002119F5" w:rsidRPr="00816DDD">
        <w:rPr>
          <w:rFonts w:hint="cs"/>
          <w:szCs w:val="24"/>
        </w:rPr>
        <w:t xml:space="preserve"> Today, </w:t>
      </w:r>
      <w:r w:rsidR="007E50DE" w:rsidRPr="00816DDD">
        <w:rPr>
          <w:szCs w:val="24"/>
        </w:rPr>
        <w:t xml:space="preserve">most </w:t>
      </w:r>
      <w:r w:rsidR="000B6E1B" w:rsidRPr="00816DDD">
        <w:rPr>
          <w:rFonts w:hint="cs"/>
          <w:szCs w:val="24"/>
        </w:rPr>
        <w:t xml:space="preserve">large corporations </w:t>
      </w:r>
      <w:r w:rsidR="00D022B6" w:rsidRPr="00816DDD">
        <w:rPr>
          <w:rFonts w:hint="cs"/>
          <w:szCs w:val="24"/>
        </w:rPr>
        <w:t xml:space="preserve">have </w:t>
      </w:r>
      <w:r w:rsidR="00B617AD" w:rsidRPr="00816DDD">
        <w:rPr>
          <w:rFonts w:hint="cs"/>
          <w:szCs w:val="24"/>
        </w:rPr>
        <w:t xml:space="preserve">comprehensive, </w:t>
      </w:r>
      <w:r w:rsidR="00EF42DE" w:rsidRPr="00816DDD">
        <w:rPr>
          <w:rFonts w:hint="cs"/>
          <w:szCs w:val="24"/>
        </w:rPr>
        <w:t>company-wide</w:t>
      </w:r>
      <w:r w:rsidR="00B617AD" w:rsidRPr="00816DDD">
        <w:rPr>
          <w:rFonts w:hint="cs"/>
          <w:szCs w:val="24"/>
        </w:rPr>
        <w:t xml:space="preserve"> </w:t>
      </w:r>
      <w:r w:rsidR="000B6E1B" w:rsidRPr="00816DDD">
        <w:rPr>
          <w:rFonts w:hint="cs"/>
          <w:szCs w:val="24"/>
        </w:rPr>
        <w:t xml:space="preserve">Enterprise Risk Management (ERM) </w:t>
      </w:r>
      <w:r w:rsidR="00215D09" w:rsidRPr="00816DDD">
        <w:rPr>
          <w:szCs w:val="24"/>
        </w:rPr>
        <w:t>system</w:t>
      </w:r>
      <w:r w:rsidR="002D565E" w:rsidRPr="00816DDD">
        <w:rPr>
          <w:rFonts w:hint="cs"/>
          <w:szCs w:val="24"/>
        </w:rPr>
        <w:t>s</w:t>
      </w:r>
      <w:r w:rsidR="00D62C61" w:rsidRPr="00816DDD">
        <w:rPr>
          <w:rFonts w:hint="cs"/>
          <w:szCs w:val="24"/>
        </w:rPr>
        <w:t xml:space="preserve"> under the </w:t>
      </w:r>
      <w:r w:rsidR="006C3765" w:rsidRPr="00816DDD">
        <w:rPr>
          <w:szCs w:val="24"/>
        </w:rPr>
        <w:t>purview</w:t>
      </w:r>
      <w:r w:rsidR="00D62C61" w:rsidRPr="00816DDD">
        <w:rPr>
          <w:rFonts w:hint="cs"/>
          <w:szCs w:val="24"/>
        </w:rPr>
        <w:t xml:space="preserve"> of a senior executive</w:t>
      </w:r>
      <w:r w:rsidR="00EF42DE" w:rsidRPr="00816DDD">
        <w:rPr>
          <w:rFonts w:hint="cs"/>
          <w:szCs w:val="24"/>
        </w:rPr>
        <w:t xml:space="preserve"> </w:t>
      </w:r>
      <w:r w:rsidR="008F7037">
        <w:rPr>
          <w:szCs w:val="24"/>
        </w:rPr>
        <w:t>responsible for identifying, assessing, and monitoring all material business risks and taking</w:t>
      </w:r>
      <w:r w:rsidR="002B3E42" w:rsidRPr="00816DDD">
        <w:rPr>
          <w:rFonts w:hint="cs"/>
          <w:szCs w:val="24"/>
        </w:rPr>
        <w:t xml:space="preserve"> appropriate actions</w:t>
      </w:r>
      <w:r w:rsidR="006252A7" w:rsidRPr="00816DDD">
        <w:rPr>
          <w:rFonts w:hint="cs"/>
          <w:szCs w:val="24"/>
        </w:rPr>
        <w:t xml:space="preserve"> to mitigate </w:t>
      </w:r>
      <w:r w:rsidR="000E660D" w:rsidRPr="00816DDD">
        <w:rPr>
          <w:rFonts w:hint="cs"/>
          <w:szCs w:val="24"/>
        </w:rPr>
        <w:t xml:space="preserve">potential </w:t>
      </w:r>
      <w:r w:rsidR="000102FC" w:rsidRPr="00816DDD">
        <w:rPr>
          <w:szCs w:val="24"/>
        </w:rPr>
        <w:t>losse</w:t>
      </w:r>
      <w:r w:rsidR="003B0E8E" w:rsidRPr="00816DDD">
        <w:rPr>
          <w:rFonts w:hint="cs"/>
          <w:szCs w:val="24"/>
        </w:rPr>
        <w:t>s</w:t>
      </w:r>
      <w:r w:rsidR="000B6E1B" w:rsidRPr="00816DDD">
        <w:rPr>
          <w:rFonts w:hint="cs"/>
          <w:szCs w:val="24"/>
        </w:rPr>
        <w:t>.</w:t>
      </w:r>
      <w:r w:rsidR="0077727D" w:rsidRPr="00816DDD">
        <w:rPr>
          <w:rFonts w:hint="cs"/>
          <w:szCs w:val="24"/>
        </w:rPr>
        <w:t xml:space="preserve">  </w:t>
      </w:r>
    </w:p>
    <w:p w14:paraId="0CCC1879" w14:textId="77777777" w:rsidR="000102FC" w:rsidRPr="00816DDD" w:rsidRDefault="000102FC" w:rsidP="000102FC">
      <w:pPr>
        <w:spacing w:after="0" w:line="240" w:lineRule="auto"/>
        <w:rPr>
          <w:szCs w:val="24"/>
        </w:rPr>
      </w:pPr>
    </w:p>
    <w:p w14:paraId="293C1D63" w14:textId="1B9219D8" w:rsidR="000102FC" w:rsidRPr="00816DDD" w:rsidRDefault="000102FC" w:rsidP="000102FC">
      <w:pPr>
        <w:spacing w:after="0" w:line="240" w:lineRule="auto"/>
        <w:rPr>
          <w:szCs w:val="24"/>
        </w:rPr>
      </w:pPr>
      <w:r w:rsidRPr="00816DDD">
        <w:rPr>
          <w:rFonts w:hint="cs"/>
          <w:szCs w:val="24"/>
        </w:rPr>
        <w:t>The key to effective risk management is</w:t>
      </w:r>
      <w:r w:rsidRPr="00816DDD">
        <w:rPr>
          <w:szCs w:val="24"/>
        </w:rPr>
        <w:t xml:space="preserve"> early prevention</w:t>
      </w:r>
      <w:r w:rsidRPr="00816DDD">
        <w:rPr>
          <w:rFonts w:hint="cs"/>
          <w:szCs w:val="24"/>
        </w:rPr>
        <w:t>.</w:t>
      </w:r>
      <w:r w:rsidR="00DB14A4" w:rsidRPr="00816DDD">
        <w:rPr>
          <w:szCs w:val="24"/>
        </w:rPr>
        <w:t xml:space="preserve">  </w:t>
      </w:r>
      <w:r w:rsidRPr="00816DDD">
        <w:rPr>
          <w:szCs w:val="24"/>
        </w:rPr>
        <w:t xml:space="preserve">In-depth analysis of the business environment, meticulous strategic planning, strong harassment and workplace health and safety policies, detailed analysis of capital projects, and careful due diligence of all business dealings </w:t>
      </w:r>
      <w:r w:rsidR="00C265F4">
        <w:rPr>
          <w:szCs w:val="24"/>
        </w:rPr>
        <w:t>significantly</w:t>
      </w:r>
      <w:r w:rsidRPr="00816DDD">
        <w:rPr>
          <w:szCs w:val="24"/>
        </w:rPr>
        <w:t xml:space="preserve"> reduce business risks. </w:t>
      </w:r>
      <w:r w:rsidR="001A5CB6" w:rsidRPr="00816DDD">
        <w:rPr>
          <w:szCs w:val="24"/>
        </w:rPr>
        <w:t xml:space="preserve"> Additional</w:t>
      </w:r>
      <w:r w:rsidRPr="00816DDD">
        <w:rPr>
          <w:szCs w:val="24"/>
        </w:rPr>
        <w:t xml:space="preserve"> </w:t>
      </w:r>
      <w:r w:rsidR="006C3765" w:rsidRPr="00816DDD">
        <w:rPr>
          <w:szCs w:val="24"/>
        </w:rPr>
        <w:t xml:space="preserve">risks </w:t>
      </w:r>
      <w:r w:rsidRPr="00816DDD">
        <w:rPr>
          <w:szCs w:val="24"/>
        </w:rPr>
        <w:t>can</w:t>
      </w:r>
      <w:r w:rsidR="006C3765" w:rsidRPr="00816DDD">
        <w:rPr>
          <w:szCs w:val="24"/>
        </w:rPr>
        <w:t xml:space="preserve"> also </w:t>
      </w:r>
      <w:r w:rsidRPr="00816DDD">
        <w:rPr>
          <w:szCs w:val="24"/>
        </w:rPr>
        <w:t xml:space="preserve">be transferred to a </w:t>
      </w:r>
      <w:r w:rsidR="008F7037">
        <w:rPr>
          <w:szCs w:val="24"/>
        </w:rPr>
        <w:t>third party</w:t>
      </w:r>
      <w:r w:rsidR="006C3765" w:rsidRPr="00816DDD">
        <w:rPr>
          <w:szCs w:val="24"/>
        </w:rPr>
        <w:t xml:space="preserve"> using </w:t>
      </w:r>
      <w:r w:rsidRPr="00816DDD">
        <w:rPr>
          <w:szCs w:val="24"/>
        </w:rPr>
        <w:t xml:space="preserve">insurance or other hedging techniques if </w:t>
      </w:r>
      <w:r w:rsidR="00142B1B">
        <w:rPr>
          <w:szCs w:val="24"/>
        </w:rPr>
        <w:t>cost-effective</w:t>
      </w:r>
      <w:r w:rsidRPr="00816DDD">
        <w:rPr>
          <w:szCs w:val="24"/>
        </w:rPr>
        <w:t xml:space="preserve">. </w:t>
      </w:r>
      <w:r w:rsidR="006C3765" w:rsidRPr="00816DDD">
        <w:rPr>
          <w:szCs w:val="24"/>
        </w:rPr>
        <w:t xml:space="preserve"> The risks that </w:t>
      </w:r>
      <w:r w:rsidR="00142B1B">
        <w:rPr>
          <w:szCs w:val="24"/>
        </w:rPr>
        <w:t>remain</w:t>
      </w:r>
      <w:r w:rsidRPr="00816DDD">
        <w:rPr>
          <w:szCs w:val="24"/>
        </w:rPr>
        <w:t xml:space="preserve"> </w:t>
      </w:r>
      <w:r w:rsidR="006C3765" w:rsidRPr="00816DDD">
        <w:rPr>
          <w:szCs w:val="24"/>
        </w:rPr>
        <w:t>are</w:t>
      </w:r>
      <w:r w:rsidRPr="00816DDD">
        <w:rPr>
          <w:szCs w:val="24"/>
        </w:rPr>
        <w:t xml:space="preserve"> </w:t>
      </w:r>
      <w:r w:rsidR="006C3765" w:rsidRPr="00816DDD">
        <w:rPr>
          <w:szCs w:val="24"/>
        </w:rPr>
        <w:t xml:space="preserve">shouldered </w:t>
      </w:r>
      <w:r w:rsidRPr="00816DDD">
        <w:rPr>
          <w:szCs w:val="24"/>
        </w:rPr>
        <w:t>by the company’s debt and equity investors</w:t>
      </w:r>
      <w:r w:rsidR="006C3765" w:rsidRPr="00816DDD">
        <w:rPr>
          <w:szCs w:val="24"/>
        </w:rPr>
        <w:t>, but the d</w:t>
      </w:r>
      <w:r w:rsidRPr="00816DDD">
        <w:rPr>
          <w:szCs w:val="24"/>
        </w:rPr>
        <w:t xml:space="preserve">ebtholders negotiate strict lending conditions, high collateral requirements, strong third-party guarantees, and liquidation preferences, </w:t>
      </w:r>
      <w:r w:rsidR="006C3765" w:rsidRPr="00816DDD">
        <w:rPr>
          <w:szCs w:val="24"/>
        </w:rPr>
        <w:t xml:space="preserve">so </w:t>
      </w:r>
      <w:r w:rsidRPr="00816DDD">
        <w:rPr>
          <w:szCs w:val="24"/>
        </w:rPr>
        <w:t xml:space="preserve">most </w:t>
      </w:r>
      <w:r w:rsidR="006C3765" w:rsidRPr="00816DDD">
        <w:rPr>
          <w:szCs w:val="24"/>
        </w:rPr>
        <w:t xml:space="preserve">of the remaining risks </w:t>
      </w:r>
      <w:r w:rsidRPr="00816DDD">
        <w:rPr>
          <w:szCs w:val="24"/>
        </w:rPr>
        <w:t>fall to the equity holders.  According to the Capital Asset Pricing Model</w:t>
      </w:r>
      <w:r w:rsidR="006C3765" w:rsidRPr="00816DDD">
        <w:rPr>
          <w:szCs w:val="24"/>
        </w:rPr>
        <w:t xml:space="preserve"> (CAPM)</w:t>
      </w:r>
      <w:r w:rsidRPr="00816DDD">
        <w:rPr>
          <w:szCs w:val="24"/>
        </w:rPr>
        <w:t>, rational</w:t>
      </w:r>
      <w:r w:rsidR="006C3765" w:rsidRPr="00816DDD">
        <w:rPr>
          <w:szCs w:val="24"/>
        </w:rPr>
        <w:t xml:space="preserve"> equity</w:t>
      </w:r>
      <w:r w:rsidRPr="00816DDD">
        <w:rPr>
          <w:szCs w:val="24"/>
        </w:rPr>
        <w:t xml:space="preserve"> investors will eliminate all non-systematic risk by diversifying their portfolio</w:t>
      </w:r>
      <w:r w:rsidR="006C3765" w:rsidRPr="00816DDD">
        <w:rPr>
          <w:szCs w:val="24"/>
        </w:rPr>
        <w:t>s, and they are fairly compensated for the systematic risk that remains</w:t>
      </w:r>
      <w:r w:rsidRPr="00816DDD">
        <w:rPr>
          <w:szCs w:val="24"/>
        </w:rPr>
        <w:t>.</w:t>
      </w:r>
    </w:p>
    <w:p w14:paraId="2B5F922C" w14:textId="77777777" w:rsidR="007E50DE" w:rsidRPr="00816DDD" w:rsidRDefault="007E50DE" w:rsidP="000E660D">
      <w:pPr>
        <w:spacing w:after="0" w:line="240" w:lineRule="auto"/>
        <w:ind w:right="-36"/>
        <w:rPr>
          <w:szCs w:val="24"/>
        </w:rPr>
      </w:pPr>
    </w:p>
    <w:p w14:paraId="78F8D5BA" w14:textId="6CC150E7" w:rsidR="0088659A" w:rsidRPr="00816DDD" w:rsidRDefault="0077727D" w:rsidP="000E660D">
      <w:pPr>
        <w:spacing w:after="0" w:line="240" w:lineRule="auto"/>
        <w:ind w:right="-36"/>
        <w:rPr>
          <w:szCs w:val="24"/>
        </w:rPr>
      </w:pPr>
      <w:r w:rsidRPr="00816DDD">
        <w:rPr>
          <w:rFonts w:hint="cs"/>
          <w:szCs w:val="24"/>
        </w:rPr>
        <w:t>T</w:t>
      </w:r>
      <w:r w:rsidR="004E0963" w:rsidRPr="00816DDD">
        <w:rPr>
          <w:rFonts w:hint="cs"/>
          <w:szCs w:val="24"/>
        </w:rPr>
        <w:t xml:space="preserve">he Canadian Risk Manager (CRM) designation </w:t>
      </w:r>
      <w:r w:rsidRPr="00816DDD">
        <w:rPr>
          <w:rFonts w:hint="cs"/>
          <w:szCs w:val="24"/>
          <w:shd w:val="clear" w:color="auto" w:fill="FFFFFF"/>
        </w:rPr>
        <w:t xml:space="preserve">offered </w:t>
      </w:r>
      <w:r w:rsidR="004E0963" w:rsidRPr="00816DDD">
        <w:rPr>
          <w:rFonts w:hint="cs"/>
          <w:szCs w:val="24"/>
          <w:shd w:val="clear" w:color="auto" w:fill="FFFFFF"/>
        </w:rPr>
        <w:t>by the Global Risk Management Institute (GRMI)</w:t>
      </w:r>
      <w:r w:rsidRPr="00816DDD">
        <w:rPr>
          <w:rFonts w:hint="cs"/>
          <w:szCs w:val="24"/>
          <w:shd w:val="clear" w:color="auto" w:fill="FFFFFF"/>
        </w:rPr>
        <w:t xml:space="preserve"> is </w:t>
      </w:r>
      <w:r w:rsidR="00D022B6" w:rsidRPr="00816DDD">
        <w:rPr>
          <w:rFonts w:hint="cs"/>
          <w:szCs w:val="24"/>
          <w:shd w:val="clear" w:color="auto" w:fill="FFFFFF"/>
        </w:rPr>
        <w:t xml:space="preserve">available </w:t>
      </w:r>
      <w:r w:rsidRPr="00816DDD">
        <w:rPr>
          <w:rFonts w:hint="cs"/>
          <w:szCs w:val="24"/>
          <w:shd w:val="clear" w:color="auto" w:fill="FFFFFF"/>
        </w:rPr>
        <w:t xml:space="preserve">for </w:t>
      </w:r>
      <w:r w:rsidR="00EA1EE4" w:rsidRPr="00816DDD">
        <w:rPr>
          <w:szCs w:val="24"/>
          <w:shd w:val="clear" w:color="auto" w:fill="FFFFFF"/>
        </w:rPr>
        <w:t>Charte</w:t>
      </w:r>
      <w:r w:rsidR="00142B1B">
        <w:rPr>
          <w:szCs w:val="24"/>
          <w:shd w:val="clear" w:color="auto" w:fill="FFFFFF"/>
        </w:rPr>
        <w:t>re</w:t>
      </w:r>
      <w:r w:rsidR="00EA1EE4" w:rsidRPr="00816DDD">
        <w:rPr>
          <w:szCs w:val="24"/>
          <w:shd w:val="clear" w:color="auto" w:fill="FFFFFF"/>
        </w:rPr>
        <w:t xml:space="preserve">d Professional Accountants (CPA) and Chartered Financial Analysts (CFA) </w:t>
      </w:r>
      <w:r w:rsidR="003B0E8E" w:rsidRPr="00816DDD">
        <w:rPr>
          <w:rFonts w:hint="cs"/>
          <w:szCs w:val="24"/>
          <w:shd w:val="clear" w:color="auto" w:fill="FFFFFF"/>
        </w:rPr>
        <w:t xml:space="preserve">who </w:t>
      </w:r>
      <w:r w:rsidR="00807A8B" w:rsidRPr="00816DDD">
        <w:rPr>
          <w:szCs w:val="24"/>
          <w:shd w:val="clear" w:color="auto" w:fill="FFFFFF"/>
        </w:rPr>
        <w:t>want</w:t>
      </w:r>
      <w:r w:rsidR="003B0E8E" w:rsidRPr="00816DDD">
        <w:rPr>
          <w:rFonts w:hint="cs"/>
          <w:szCs w:val="24"/>
          <w:shd w:val="clear" w:color="auto" w:fill="FFFFFF"/>
        </w:rPr>
        <w:t xml:space="preserve"> </w:t>
      </w:r>
      <w:r w:rsidR="00D022B6" w:rsidRPr="00816DDD">
        <w:rPr>
          <w:rFonts w:hint="cs"/>
          <w:szCs w:val="24"/>
          <w:shd w:val="clear" w:color="auto" w:fill="FFFFFF"/>
        </w:rPr>
        <w:t xml:space="preserve">to </w:t>
      </w:r>
      <w:r w:rsidR="00215D09" w:rsidRPr="00816DDD">
        <w:rPr>
          <w:szCs w:val="24"/>
          <w:shd w:val="clear" w:color="auto" w:fill="FFFFFF"/>
        </w:rPr>
        <w:t xml:space="preserve">be part of this </w:t>
      </w:r>
      <w:r w:rsidR="00D022B6" w:rsidRPr="00816DDD">
        <w:rPr>
          <w:rFonts w:hint="cs"/>
          <w:szCs w:val="24"/>
          <w:shd w:val="clear" w:color="auto" w:fill="FFFFFF"/>
        </w:rPr>
        <w:t xml:space="preserve">growing </w:t>
      </w:r>
      <w:r w:rsidR="000E660D" w:rsidRPr="00816DDD">
        <w:rPr>
          <w:rFonts w:hint="cs"/>
          <w:szCs w:val="24"/>
          <w:shd w:val="clear" w:color="auto" w:fill="FFFFFF"/>
        </w:rPr>
        <w:t>profession</w:t>
      </w:r>
      <w:r w:rsidR="00D022B6" w:rsidRPr="00816DDD">
        <w:rPr>
          <w:rFonts w:hint="cs"/>
          <w:szCs w:val="24"/>
          <w:shd w:val="clear" w:color="auto" w:fill="FFFFFF"/>
        </w:rPr>
        <w:t>.</w:t>
      </w:r>
    </w:p>
    <w:p w14:paraId="3A25F14E" w14:textId="77777777" w:rsidR="004517FF" w:rsidRPr="00816DDD" w:rsidRDefault="004517FF" w:rsidP="000E660D">
      <w:pPr>
        <w:widowControl w:val="0"/>
        <w:spacing w:after="0" w:line="240" w:lineRule="auto"/>
        <w:rPr>
          <w:szCs w:val="24"/>
        </w:rPr>
      </w:pPr>
    </w:p>
    <w:p w14:paraId="605A2295" w14:textId="302EE706" w:rsidR="007C3EF4" w:rsidRPr="00816DDD" w:rsidRDefault="007C3EF4" w:rsidP="000E660D">
      <w:pPr>
        <w:widowControl w:val="0"/>
        <w:numPr>
          <w:ilvl w:val="1"/>
          <w:numId w:val="4"/>
        </w:numPr>
        <w:spacing w:after="0" w:line="240" w:lineRule="auto"/>
        <w:contextualSpacing/>
        <w:rPr>
          <w:b/>
          <w:szCs w:val="24"/>
        </w:rPr>
      </w:pPr>
      <w:r w:rsidRPr="00816DDD">
        <w:rPr>
          <w:rFonts w:hint="cs"/>
          <w:b/>
          <w:szCs w:val="24"/>
        </w:rPr>
        <w:t xml:space="preserve">| </w:t>
      </w:r>
      <w:r w:rsidR="005353E2" w:rsidRPr="00816DDD">
        <w:rPr>
          <w:rFonts w:hint="cs"/>
          <w:b/>
          <w:szCs w:val="24"/>
        </w:rPr>
        <w:t xml:space="preserve">Categories </w:t>
      </w:r>
      <w:r w:rsidRPr="00816DDD">
        <w:rPr>
          <w:rFonts w:hint="cs"/>
          <w:b/>
          <w:szCs w:val="24"/>
        </w:rPr>
        <w:t>of Business Risk</w:t>
      </w:r>
    </w:p>
    <w:p w14:paraId="7CED9441" w14:textId="77777777" w:rsidR="007C3EF4" w:rsidRPr="00816DDD" w:rsidRDefault="003C4EC4" w:rsidP="000E660D">
      <w:pPr>
        <w:widowControl w:val="0"/>
        <w:spacing w:after="0" w:line="240" w:lineRule="auto"/>
        <w:contextualSpacing/>
        <w:rPr>
          <w:b/>
          <w:szCs w:val="24"/>
        </w:rPr>
      </w:pPr>
      <w:r>
        <w:rPr>
          <w:szCs w:val="24"/>
        </w:rPr>
        <w:pict w14:anchorId="6A95E4E2">
          <v:rect id="_x0000_i1029" style="width:0;height:1.5pt" o:hralign="center" o:hrstd="t" o:hr="t" fillcolor="#a0a0a0" stroked="f"/>
        </w:pict>
      </w:r>
    </w:p>
    <w:p w14:paraId="3DF7D253" w14:textId="77777777" w:rsidR="00E81FFE" w:rsidRPr="00816DDD" w:rsidRDefault="00E81FFE" w:rsidP="000E660D">
      <w:pPr>
        <w:spacing w:after="0" w:line="240" w:lineRule="auto"/>
        <w:rPr>
          <w:szCs w:val="24"/>
        </w:rPr>
      </w:pPr>
    </w:p>
    <w:p w14:paraId="144AF959" w14:textId="2D314115" w:rsidR="00A327A0" w:rsidRDefault="00997B4B" w:rsidP="00215D09">
      <w:pPr>
        <w:spacing w:after="0" w:line="240" w:lineRule="auto"/>
        <w:ind w:right="-126"/>
        <w:rPr>
          <w:szCs w:val="24"/>
        </w:rPr>
      </w:pPr>
      <w:r w:rsidRPr="00816DDD">
        <w:rPr>
          <w:rFonts w:hint="cs"/>
          <w:szCs w:val="24"/>
        </w:rPr>
        <w:t>B</w:t>
      </w:r>
      <w:r w:rsidR="0006614E" w:rsidRPr="00816DDD">
        <w:rPr>
          <w:rFonts w:hint="cs"/>
          <w:szCs w:val="24"/>
        </w:rPr>
        <w:t>usiness risk</w:t>
      </w:r>
      <w:r w:rsidR="000E660D" w:rsidRPr="00816DDD">
        <w:rPr>
          <w:rFonts w:hint="cs"/>
          <w:szCs w:val="24"/>
        </w:rPr>
        <w:t>s</w:t>
      </w:r>
      <w:r w:rsidR="000102FC" w:rsidRPr="00816DDD">
        <w:rPr>
          <w:szCs w:val="24"/>
        </w:rPr>
        <w:t xml:space="preserve"> can be </w:t>
      </w:r>
      <w:r w:rsidRPr="00816DDD">
        <w:rPr>
          <w:rFonts w:hint="cs"/>
          <w:szCs w:val="24"/>
        </w:rPr>
        <w:t xml:space="preserve">categorized </w:t>
      </w:r>
      <w:r w:rsidR="000E660D" w:rsidRPr="00816DDD">
        <w:rPr>
          <w:rFonts w:hint="cs"/>
          <w:szCs w:val="24"/>
        </w:rPr>
        <w:t>as</w:t>
      </w:r>
      <w:r w:rsidRPr="00816DDD">
        <w:rPr>
          <w:rFonts w:hint="cs"/>
          <w:szCs w:val="24"/>
        </w:rPr>
        <w:t xml:space="preserve"> </w:t>
      </w:r>
      <w:r w:rsidR="00863C07" w:rsidRPr="00816DDD">
        <w:rPr>
          <w:rFonts w:hint="cs"/>
          <w:szCs w:val="24"/>
        </w:rPr>
        <w:t xml:space="preserve">strategic, operational, hazard, </w:t>
      </w:r>
      <w:r w:rsidR="00807A8B" w:rsidRPr="00816DDD">
        <w:rPr>
          <w:szCs w:val="24"/>
        </w:rPr>
        <w:t>or</w:t>
      </w:r>
      <w:r w:rsidR="00863C07" w:rsidRPr="00816DDD">
        <w:rPr>
          <w:rFonts w:hint="cs"/>
          <w:szCs w:val="24"/>
        </w:rPr>
        <w:t xml:space="preserve"> financial. </w:t>
      </w:r>
      <w:r w:rsidR="00EC084C" w:rsidRPr="00816DDD">
        <w:rPr>
          <w:rFonts w:hint="cs"/>
          <w:szCs w:val="24"/>
        </w:rPr>
        <w:t xml:space="preserve"> </w:t>
      </w:r>
    </w:p>
    <w:p w14:paraId="245AFCD5" w14:textId="77777777" w:rsidR="0031386C" w:rsidRPr="00816DDD" w:rsidRDefault="0031386C" w:rsidP="00215D09">
      <w:pPr>
        <w:spacing w:after="0" w:line="240" w:lineRule="auto"/>
        <w:ind w:right="-126"/>
        <w:rPr>
          <w:szCs w:val="24"/>
        </w:rPr>
      </w:pPr>
    </w:p>
    <w:p w14:paraId="4CFBAB9D" w14:textId="02FB3AE9" w:rsidR="00B63286" w:rsidRPr="00816DDD" w:rsidRDefault="00A327A0" w:rsidP="00DB14A4">
      <w:pPr>
        <w:spacing w:after="0" w:line="240" w:lineRule="auto"/>
        <w:ind w:left="360" w:right="-126"/>
        <w:rPr>
          <w:szCs w:val="24"/>
        </w:rPr>
      </w:pPr>
      <w:r w:rsidRPr="00816DDD">
        <w:rPr>
          <w:b/>
          <w:bCs/>
          <w:szCs w:val="24"/>
        </w:rPr>
        <w:lastRenderedPageBreak/>
        <w:t xml:space="preserve">Strategic and </w:t>
      </w:r>
      <w:r w:rsidR="00DB14A4" w:rsidRPr="00816DDD">
        <w:rPr>
          <w:b/>
          <w:bCs/>
          <w:szCs w:val="24"/>
        </w:rPr>
        <w:t>o</w:t>
      </w:r>
      <w:r w:rsidRPr="00816DDD">
        <w:rPr>
          <w:b/>
          <w:bCs/>
          <w:szCs w:val="24"/>
        </w:rPr>
        <w:t xml:space="preserve">perational </w:t>
      </w:r>
      <w:r w:rsidR="00DB14A4" w:rsidRPr="00816DDD">
        <w:rPr>
          <w:b/>
          <w:bCs/>
          <w:szCs w:val="24"/>
        </w:rPr>
        <w:t>r</w:t>
      </w:r>
      <w:r w:rsidRPr="00816DDD">
        <w:rPr>
          <w:b/>
          <w:bCs/>
          <w:szCs w:val="24"/>
        </w:rPr>
        <w:t>isks.</w:t>
      </w:r>
      <w:r w:rsidRPr="00816DDD">
        <w:rPr>
          <w:szCs w:val="24"/>
        </w:rPr>
        <w:t xml:space="preserve">  </w:t>
      </w:r>
      <w:r w:rsidR="000102FC" w:rsidRPr="00816DDD">
        <w:rPr>
          <w:szCs w:val="24"/>
        </w:rPr>
        <w:t>Identifying, assessing, and m</w:t>
      </w:r>
      <w:r w:rsidR="000E660D" w:rsidRPr="00816DDD">
        <w:rPr>
          <w:rFonts w:hint="cs"/>
          <w:szCs w:val="24"/>
        </w:rPr>
        <w:t>onitoring s</w:t>
      </w:r>
      <w:r w:rsidR="00863C07" w:rsidRPr="00816DDD">
        <w:rPr>
          <w:rFonts w:hint="cs"/>
          <w:szCs w:val="24"/>
        </w:rPr>
        <w:t>trategic and operational risk</w:t>
      </w:r>
      <w:r w:rsidR="000E660D" w:rsidRPr="00816DDD">
        <w:rPr>
          <w:rFonts w:hint="cs"/>
          <w:szCs w:val="24"/>
        </w:rPr>
        <w:t>s</w:t>
      </w:r>
      <w:r w:rsidR="00863C07" w:rsidRPr="00816DDD">
        <w:rPr>
          <w:rFonts w:hint="cs"/>
          <w:szCs w:val="24"/>
        </w:rPr>
        <w:t xml:space="preserve"> </w:t>
      </w:r>
      <w:r w:rsidR="00807A8B" w:rsidRPr="00816DDD">
        <w:rPr>
          <w:szCs w:val="24"/>
        </w:rPr>
        <w:t>is</w:t>
      </w:r>
      <w:r w:rsidR="00863C07" w:rsidRPr="00816DDD">
        <w:rPr>
          <w:rFonts w:hint="cs"/>
          <w:szCs w:val="24"/>
        </w:rPr>
        <w:t xml:space="preserve"> </w:t>
      </w:r>
      <w:r w:rsidR="00EC084C" w:rsidRPr="00816DDD">
        <w:rPr>
          <w:rFonts w:hint="cs"/>
          <w:szCs w:val="24"/>
        </w:rPr>
        <w:t>the responsibility of senior</w:t>
      </w:r>
      <w:r w:rsidR="000E660D" w:rsidRPr="00816DDD">
        <w:rPr>
          <w:rFonts w:hint="cs"/>
          <w:szCs w:val="24"/>
        </w:rPr>
        <w:t xml:space="preserve"> </w:t>
      </w:r>
      <w:r w:rsidR="00807A8B" w:rsidRPr="00816DDD">
        <w:rPr>
          <w:szCs w:val="24"/>
        </w:rPr>
        <w:t>management</w:t>
      </w:r>
      <w:r w:rsidR="000E660D" w:rsidRPr="00816DDD">
        <w:rPr>
          <w:rFonts w:hint="cs"/>
          <w:szCs w:val="24"/>
        </w:rPr>
        <w:t xml:space="preserve"> </w:t>
      </w:r>
      <w:r w:rsidR="00EC084C" w:rsidRPr="00816DDD">
        <w:rPr>
          <w:rFonts w:hint="cs"/>
          <w:szCs w:val="24"/>
        </w:rPr>
        <w:t xml:space="preserve">and </w:t>
      </w:r>
      <w:r w:rsidR="003E3182" w:rsidRPr="00816DDD">
        <w:rPr>
          <w:rFonts w:hint="cs"/>
          <w:szCs w:val="24"/>
        </w:rPr>
        <w:t xml:space="preserve">the </w:t>
      </w:r>
      <w:r w:rsidR="00EC084C" w:rsidRPr="00816DDD">
        <w:rPr>
          <w:rFonts w:hint="cs"/>
          <w:szCs w:val="24"/>
        </w:rPr>
        <w:t xml:space="preserve">line managers in marketing, supply chain, and human resources.  </w:t>
      </w:r>
      <w:r w:rsidR="003E3182" w:rsidRPr="00816DDD">
        <w:rPr>
          <w:rFonts w:hint="cs"/>
          <w:szCs w:val="24"/>
        </w:rPr>
        <w:t>Senior</w:t>
      </w:r>
      <w:r w:rsidR="000E660D" w:rsidRPr="00816DDD">
        <w:rPr>
          <w:rFonts w:hint="cs"/>
          <w:szCs w:val="24"/>
        </w:rPr>
        <w:t xml:space="preserve"> </w:t>
      </w:r>
      <w:r w:rsidR="00215D09" w:rsidRPr="00816DDD">
        <w:rPr>
          <w:szCs w:val="24"/>
        </w:rPr>
        <w:t>manag</w:t>
      </w:r>
      <w:r w:rsidR="001A5CB6" w:rsidRPr="00816DDD">
        <w:rPr>
          <w:szCs w:val="24"/>
        </w:rPr>
        <w:t>ers</w:t>
      </w:r>
      <w:r w:rsidR="000E660D" w:rsidRPr="00816DDD">
        <w:rPr>
          <w:rFonts w:hint="cs"/>
          <w:szCs w:val="24"/>
        </w:rPr>
        <w:t xml:space="preserve"> </w:t>
      </w:r>
      <w:r w:rsidR="00D90C73" w:rsidRPr="00816DDD">
        <w:rPr>
          <w:rFonts w:hint="cs"/>
          <w:szCs w:val="24"/>
        </w:rPr>
        <w:t>stud</w:t>
      </w:r>
      <w:r w:rsidR="001A5CB6" w:rsidRPr="00816DDD">
        <w:rPr>
          <w:szCs w:val="24"/>
        </w:rPr>
        <w:t>y</w:t>
      </w:r>
      <w:r w:rsidR="00D90C73" w:rsidRPr="00816DDD">
        <w:rPr>
          <w:rFonts w:hint="cs"/>
          <w:szCs w:val="24"/>
        </w:rPr>
        <w:t xml:space="preserve"> </w:t>
      </w:r>
      <w:r w:rsidR="00215D09" w:rsidRPr="00816DDD">
        <w:rPr>
          <w:szCs w:val="24"/>
        </w:rPr>
        <w:t xml:space="preserve">major </w:t>
      </w:r>
      <w:r w:rsidR="00D90C73" w:rsidRPr="00816DDD">
        <w:rPr>
          <w:rFonts w:hint="cs"/>
          <w:szCs w:val="24"/>
        </w:rPr>
        <w:t>trends</w:t>
      </w:r>
      <w:r w:rsidR="002B3E42" w:rsidRPr="00816DDD">
        <w:rPr>
          <w:rFonts w:hint="cs"/>
          <w:szCs w:val="24"/>
        </w:rPr>
        <w:t xml:space="preserve"> relating to </w:t>
      </w:r>
      <w:r w:rsidR="00EC084C" w:rsidRPr="00816DDD">
        <w:rPr>
          <w:rFonts w:hint="cs"/>
          <w:szCs w:val="24"/>
        </w:rPr>
        <w:t>co</w:t>
      </w:r>
      <w:r w:rsidR="003E3182" w:rsidRPr="00816DDD">
        <w:rPr>
          <w:rFonts w:hint="cs"/>
          <w:szCs w:val="24"/>
        </w:rPr>
        <w:t>n</w:t>
      </w:r>
      <w:r w:rsidR="00EC084C" w:rsidRPr="00816DDD">
        <w:rPr>
          <w:rFonts w:hint="cs"/>
          <w:szCs w:val="24"/>
        </w:rPr>
        <w:t xml:space="preserve">sumer </w:t>
      </w:r>
      <w:r w:rsidR="00215D09" w:rsidRPr="00816DDD">
        <w:rPr>
          <w:szCs w:val="24"/>
        </w:rPr>
        <w:t>buying habits</w:t>
      </w:r>
      <w:r w:rsidR="00EC084C" w:rsidRPr="00816DDD">
        <w:rPr>
          <w:rFonts w:hint="cs"/>
          <w:szCs w:val="24"/>
        </w:rPr>
        <w:t>, tec</w:t>
      </w:r>
      <w:r w:rsidR="003E3182" w:rsidRPr="00816DDD">
        <w:rPr>
          <w:rFonts w:hint="cs"/>
          <w:szCs w:val="24"/>
        </w:rPr>
        <w:t>hnol</w:t>
      </w:r>
      <w:r w:rsidR="00997B4B" w:rsidRPr="00816DDD">
        <w:rPr>
          <w:rFonts w:hint="cs"/>
          <w:szCs w:val="24"/>
        </w:rPr>
        <w:t>og</w:t>
      </w:r>
      <w:r w:rsidR="002B3E42" w:rsidRPr="00816DDD">
        <w:rPr>
          <w:rFonts w:hint="cs"/>
          <w:szCs w:val="24"/>
        </w:rPr>
        <w:t>y</w:t>
      </w:r>
      <w:r w:rsidR="00EC084C" w:rsidRPr="00816DDD">
        <w:rPr>
          <w:rFonts w:hint="cs"/>
          <w:szCs w:val="24"/>
        </w:rPr>
        <w:t xml:space="preserve">, </w:t>
      </w:r>
      <w:r w:rsidR="005353E2" w:rsidRPr="00816DDD">
        <w:rPr>
          <w:rFonts w:hint="cs"/>
          <w:szCs w:val="24"/>
        </w:rPr>
        <w:t xml:space="preserve">industry </w:t>
      </w:r>
      <w:r w:rsidR="003E3182" w:rsidRPr="00816DDD">
        <w:rPr>
          <w:rFonts w:hint="cs"/>
          <w:szCs w:val="24"/>
        </w:rPr>
        <w:t xml:space="preserve">competition, social and demographic </w:t>
      </w:r>
      <w:r w:rsidR="00545830" w:rsidRPr="00816DDD">
        <w:rPr>
          <w:rFonts w:hint="cs"/>
          <w:szCs w:val="24"/>
        </w:rPr>
        <w:t>conditions</w:t>
      </w:r>
      <w:r w:rsidR="003E3182" w:rsidRPr="00816DDD">
        <w:rPr>
          <w:rFonts w:hint="cs"/>
          <w:szCs w:val="24"/>
        </w:rPr>
        <w:t xml:space="preserve">, and </w:t>
      </w:r>
      <w:r w:rsidR="00994809" w:rsidRPr="00816DDD">
        <w:rPr>
          <w:rFonts w:hint="cs"/>
          <w:szCs w:val="24"/>
        </w:rPr>
        <w:t xml:space="preserve">the </w:t>
      </w:r>
      <w:r w:rsidR="003E3182" w:rsidRPr="00816DDD">
        <w:rPr>
          <w:rFonts w:hint="cs"/>
          <w:szCs w:val="24"/>
        </w:rPr>
        <w:t xml:space="preserve">regulatory and political </w:t>
      </w:r>
      <w:r w:rsidR="00215D09" w:rsidRPr="00816DDD">
        <w:rPr>
          <w:szCs w:val="24"/>
        </w:rPr>
        <w:t>environment</w:t>
      </w:r>
      <w:r w:rsidR="005353E2" w:rsidRPr="00816DDD">
        <w:rPr>
          <w:rFonts w:hint="cs"/>
          <w:szCs w:val="24"/>
        </w:rPr>
        <w:t xml:space="preserve">.  </w:t>
      </w:r>
      <w:r w:rsidR="003E3182" w:rsidRPr="00816DDD">
        <w:rPr>
          <w:rFonts w:hint="cs"/>
          <w:szCs w:val="24"/>
        </w:rPr>
        <w:t xml:space="preserve">Line managers </w:t>
      </w:r>
      <w:r w:rsidR="005353E2" w:rsidRPr="00816DDD">
        <w:rPr>
          <w:rFonts w:hint="cs"/>
          <w:szCs w:val="24"/>
        </w:rPr>
        <w:t xml:space="preserve">look for </w:t>
      </w:r>
      <w:r w:rsidR="00997B4B" w:rsidRPr="00816DDD">
        <w:rPr>
          <w:rFonts w:hint="cs"/>
          <w:szCs w:val="24"/>
        </w:rPr>
        <w:t xml:space="preserve">operational </w:t>
      </w:r>
      <w:r w:rsidR="002B3E42" w:rsidRPr="00816DDD">
        <w:rPr>
          <w:rFonts w:hint="cs"/>
          <w:szCs w:val="24"/>
        </w:rPr>
        <w:t>problems</w:t>
      </w:r>
      <w:r w:rsidR="005353E2" w:rsidRPr="00816DDD">
        <w:rPr>
          <w:rFonts w:hint="cs"/>
          <w:szCs w:val="24"/>
        </w:rPr>
        <w:t xml:space="preserve"> </w:t>
      </w:r>
      <w:r w:rsidR="002B3E42" w:rsidRPr="00816DDD">
        <w:rPr>
          <w:rFonts w:hint="cs"/>
          <w:szCs w:val="24"/>
        </w:rPr>
        <w:t>such as</w:t>
      </w:r>
      <w:r w:rsidR="005353E2" w:rsidRPr="00816DDD">
        <w:rPr>
          <w:rFonts w:hint="cs"/>
          <w:szCs w:val="24"/>
        </w:rPr>
        <w:t xml:space="preserve"> </w:t>
      </w:r>
      <w:r w:rsidR="006252A7" w:rsidRPr="00816DDD">
        <w:rPr>
          <w:rFonts w:hint="cs"/>
          <w:szCs w:val="24"/>
        </w:rPr>
        <w:t xml:space="preserve">an </w:t>
      </w:r>
      <w:r w:rsidR="005353E2" w:rsidRPr="00816DDD">
        <w:rPr>
          <w:rFonts w:hint="cs"/>
          <w:szCs w:val="24"/>
        </w:rPr>
        <w:t>unstable supply chain,</w:t>
      </w:r>
      <w:r w:rsidR="000102FC" w:rsidRPr="00816DDD">
        <w:rPr>
          <w:szCs w:val="24"/>
        </w:rPr>
        <w:t xml:space="preserve"> </w:t>
      </w:r>
      <w:r w:rsidR="00994809" w:rsidRPr="00816DDD">
        <w:rPr>
          <w:rFonts w:hint="cs"/>
          <w:szCs w:val="24"/>
        </w:rPr>
        <w:t xml:space="preserve">labour </w:t>
      </w:r>
      <w:r w:rsidR="005353E2" w:rsidRPr="00816DDD">
        <w:rPr>
          <w:rFonts w:hint="cs"/>
          <w:szCs w:val="24"/>
        </w:rPr>
        <w:t>shortage</w:t>
      </w:r>
      <w:r w:rsidR="000102FC" w:rsidRPr="00816DDD">
        <w:rPr>
          <w:szCs w:val="24"/>
        </w:rPr>
        <w:t>s</w:t>
      </w:r>
      <w:r w:rsidR="005353E2" w:rsidRPr="00816DDD">
        <w:rPr>
          <w:rFonts w:hint="cs"/>
          <w:szCs w:val="24"/>
        </w:rPr>
        <w:t>, rising input costs</w:t>
      </w:r>
      <w:r w:rsidR="00997B4B" w:rsidRPr="00816DDD">
        <w:rPr>
          <w:rFonts w:hint="cs"/>
          <w:szCs w:val="24"/>
        </w:rPr>
        <w:t xml:space="preserve">, or </w:t>
      </w:r>
      <w:r w:rsidR="00215D09" w:rsidRPr="00816DDD">
        <w:rPr>
          <w:szCs w:val="24"/>
        </w:rPr>
        <w:t>an increase in harassment complaints</w:t>
      </w:r>
      <w:r w:rsidR="005353E2" w:rsidRPr="00816DDD">
        <w:rPr>
          <w:rFonts w:hint="cs"/>
          <w:szCs w:val="24"/>
        </w:rPr>
        <w:t xml:space="preserve">. </w:t>
      </w:r>
      <w:r w:rsidR="00997B4B" w:rsidRPr="00816DDD">
        <w:rPr>
          <w:rFonts w:hint="cs"/>
          <w:szCs w:val="24"/>
        </w:rPr>
        <w:t xml:space="preserve"> </w:t>
      </w:r>
    </w:p>
    <w:p w14:paraId="32C5374E" w14:textId="77777777" w:rsidR="00B63286" w:rsidRPr="00816DDD" w:rsidRDefault="00B63286" w:rsidP="00DB14A4">
      <w:pPr>
        <w:spacing w:after="0" w:line="240" w:lineRule="auto"/>
        <w:ind w:left="360"/>
        <w:rPr>
          <w:szCs w:val="24"/>
        </w:rPr>
      </w:pPr>
    </w:p>
    <w:p w14:paraId="327711FE" w14:textId="6962AA13" w:rsidR="000102FC" w:rsidRPr="00816DDD" w:rsidRDefault="006252A7" w:rsidP="00DB14A4">
      <w:pPr>
        <w:spacing w:after="0" w:line="240" w:lineRule="auto"/>
        <w:ind w:left="360"/>
        <w:rPr>
          <w:szCs w:val="24"/>
        </w:rPr>
      </w:pPr>
      <w:r w:rsidRPr="00816DDD">
        <w:rPr>
          <w:rFonts w:hint="cs"/>
          <w:szCs w:val="24"/>
        </w:rPr>
        <w:t>A</w:t>
      </w:r>
      <w:r w:rsidR="00B63286" w:rsidRPr="00816DDD">
        <w:rPr>
          <w:rFonts w:hint="cs"/>
          <w:szCs w:val="24"/>
        </w:rPr>
        <w:t>ll</w:t>
      </w:r>
      <w:r w:rsidRPr="00816DDD">
        <w:rPr>
          <w:rFonts w:hint="cs"/>
          <w:szCs w:val="24"/>
        </w:rPr>
        <w:t xml:space="preserve"> </w:t>
      </w:r>
      <w:r w:rsidR="003B0E8E" w:rsidRPr="00816DDD">
        <w:rPr>
          <w:rFonts w:hint="cs"/>
          <w:szCs w:val="24"/>
        </w:rPr>
        <w:t>strategic and operational</w:t>
      </w:r>
      <w:r w:rsidR="00B63286" w:rsidRPr="00816DDD">
        <w:rPr>
          <w:rFonts w:hint="cs"/>
          <w:szCs w:val="24"/>
        </w:rPr>
        <w:t xml:space="preserve"> </w:t>
      </w:r>
      <w:r w:rsidRPr="00816DDD">
        <w:rPr>
          <w:rFonts w:hint="cs"/>
          <w:szCs w:val="24"/>
        </w:rPr>
        <w:t xml:space="preserve">risks </w:t>
      </w:r>
      <w:r w:rsidR="003B0E8E" w:rsidRPr="00816DDD">
        <w:rPr>
          <w:rFonts w:hint="cs"/>
          <w:szCs w:val="24"/>
        </w:rPr>
        <w:t xml:space="preserve">identified are </w:t>
      </w:r>
      <w:r w:rsidRPr="00816DDD">
        <w:rPr>
          <w:rFonts w:hint="cs"/>
          <w:szCs w:val="24"/>
        </w:rPr>
        <w:t>prioritize</w:t>
      </w:r>
      <w:r w:rsidR="00545830" w:rsidRPr="00816DDD">
        <w:rPr>
          <w:rFonts w:hint="cs"/>
          <w:szCs w:val="24"/>
        </w:rPr>
        <w:t>d</w:t>
      </w:r>
      <w:r w:rsidR="00AA0B27">
        <w:rPr>
          <w:szCs w:val="24"/>
        </w:rPr>
        <w:t>,</w:t>
      </w:r>
      <w:r w:rsidRPr="00816DDD">
        <w:rPr>
          <w:rFonts w:hint="cs"/>
          <w:szCs w:val="24"/>
        </w:rPr>
        <w:t xml:space="preserve"> and </w:t>
      </w:r>
      <w:r w:rsidR="00FC29C9" w:rsidRPr="00816DDD">
        <w:rPr>
          <w:szCs w:val="24"/>
        </w:rPr>
        <w:t>appropriate</w:t>
      </w:r>
      <w:r w:rsidRPr="00816DDD">
        <w:rPr>
          <w:rFonts w:hint="cs"/>
          <w:szCs w:val="24"/>
        </w:rPr>
        <w:t xml:space="preserve"> action</w:t>
      </w:r>
      <w:r w:rsidR="00545830" w:rsidRPr="00816DDD">
        <w:rPr>
          <w:rFonts w:hint="cs"/>
          <w:szCs w:val="24"/>
        </w:rPr>
        <w:t>s</w:t>
      </w:r>
      <w:r w:rsidRPr="00816DDD">
        <w:rPr>
          <w:rFonts w:hint="cs"/>
          <w:szCs w:val="24"/>
        </w:rPr>
        <w:t xml:space="preserve"> </w:t>
      </w:r>
      <w:r w:rsidR="00D235B9">
        <w:rPr>
          <w:szCs w:val="24"/>
        </w:rPr>
        <w:t>are taken</w:t>
      </w:r>
      <w:r w:rsidRPr="00816DDD">
        <w:rPr>
          <w:rFonts w:hint="cs"/>
          <w:szCs w:val="24"/>
        </w:rPr>
        <w:t xml:space="preserve">.  </w:t>
      </w:r>
      <w:r w:rsidR="00215D09" w:rsidRPr="00816DDD">
        <w:rPr>
          <w:szCs w:val="24"/>
        </w:rPr>
        <w:t>For example, m</w:t>
      </w:r>
      <w:r w:rsidR="00545830" w:rsidRPr="00816DDD">
        <w:rPr>
          <w:rFonts w:hint="cs"/>
          <w:szCs w:val="24"/>
        </w:rPr>
        <w:t xml:space="preserve">anagement </w:t>
      </w:r>
      <w:r w:rsidRPr="00816DDD">
        <w:rPr>
          <w:rFonts w:hint="cs"/>
          <w:szCs w:val="24"/>
        </w:rPr>
        <w:t>m</w:t>
      </w:r>
      <w:r w:rsidR="001A5CB6" w:rsidRPr="00816DDD">
        <w:rPr>
          <w:szCs w:val="24"/>
        </w:rPr>
        <w:t>ight</w:t>
      </w:r>
      <w:r w:rsidRPr="00816DDD">
        <w:rPr>
          <w:rFonts w:hint="cs"/>
          <w:szCs w:val="24"/>
        </w:rPr>
        <w:t xml:space="preserve"> increase </w:t>
      </w:r>
      <w:r w:rsidR="00545830" w:rsidRPr="00816DDD">
        <w:rPr>
          <w:rFonts w:hint="cs"/>
          <w:szCs w:val="24"/>
        </w:rPr>
        <w:t>the</w:t>
      </w:r>
      <w:r w:rsidRPr="00816DDD">
        <w:rPr>
          <w:rFonts w:hint="cs"/>
          <w:szCs w:val="24"/>
        </w:rPr>
        <w:t xml:space="preserve"> R&amp;D budget in response to changing consumer tastes</w:t>
      </w:r>
      <w:r w:rsidR="00545830" w:rsidRPr="00816DDD">
        <w:rPr>
          <w:rFonts w:hint="cs"/>
          <w:szCs w:val="24"/>
        </w:rPr>
        <w:t xml:space="preserve"> or </w:t>
      </w:r>
      <w:r w:rsidRPr="00816DDD">
        <w:rPr>
          <w:rFonts w:hint="cs"/>
          <w:szCs w:val="24"/>
        </w:rPr>
        <w:t xml:space="preserve">recent technological advancements.  </w:t>
      </w:r>
      <w:r w:rsidR="00545830" w:rsidRPr="00816DDD">
        <w:rPr>
          <w:rFonts w:hint="cs"/>
          <w:szCs w:val="24"/>
        </w:rPr>
        <w:t xml:space="preserve">More </w:t>
      </w:r>
      <w:r w:rsidR="0050184E" w:rsidRPr="00816DDD">
        <w:rPr>
          <w:szCs w:val="24"/>
        </w:rPr>
        <w:t xml:space="preserve">could </w:t>
      </w:r>
      <w:r w:rsidR="003B0E8E" w:rsidRPr="00816DDD">
        <w:rPr>
          <w:rFonts w:hint="cs"/>
          <w:szCs w:val="24"/>
        </w:rPr>
        <w:t xml:space="preserve">be done </w:t>
      </w:r>
      <w:r w:rsidR="00545830" w:rsidRPr="00816DDD">
        <w:rPr>
          <w:rFonts w:hint="cs"/>
          <w:szCs w:val="24"/>
        </w:rPr>
        <w:t xml:space="preserve">to </w:t>
      </w:r>
      <w:r w:rsidR="00033925" w:rsidRPr="00816DDD">
        <w:rPr>
          <w:rFonts w:hint="cs"/>
          <w:szCs w:val="24"/>
        </w:rPr>
        <w:t xml:space="preserve">recruit </w:t>
      </w:r>
      <w:r w:rsidR="00545830" w:rsidRPr="00816DDD">
        <w:rPr>
          <w:rFonts w:hint="cs"/>
          <w:szCs w:val="24"/>
        </w:rPr>
        <w:t>retired</w:t>
      </w:r>
      <w:r w:rsidR="001A5CB6" w:rsidRPr="00816DDD">
        <w:rPr>
          <w:szCs w:val="24"/>
        </w:rPr>
        <w:t xml:space="preserve"> and </w:t>
      </w:r>
      <w:r w:rsidR="003B0E8E" w:rsidRPr="00816DDD">
        <w:rPr>
          <w:rFonts w:hint="cs"/>
          <w:szCs w:val="24"/>
        </w:rPr>
        <w:t>disabled</w:t>
      </w:r>
      <w:r w:rsidR="00033925" w:rsidRPr="00816DDD">
        <w:rPr>
          <w:rFonts w:hint="cs"/>
          <w:szCs w:val="24"/>
        </w:rPr>
        <w:t xml:space="preserve"> workers</w:t>
      </w:r>
      <w:r w:rsidR="001A5CB6" w:rsidRPr="00816DDD">
        <w:rPr>
          <w:szCs w:val="24"/>
        </w:rPr>
        <w:t xml:space="preserve"> or </w:t>
      </w:r>
      <w:r w:rsidR="000102FC" w:rsidRPr="00816DDD">
        <w:rPr>
          <w:szCs w:val="24"/>
        </w:rPr>
        <w:t>new immigrants</w:t>
      </w:r>
      <w:r w:rsidR="00545830" w:rsidRPr="00816DDD">
        <w:rPr>
          <w:rFonts w:hint="cs"/>
          <w:szCs w:val="24"/>
        </w:rPr>
        <w:t xml:space="preserve"> to address a labour shortage.  Re-shoring parts production </w:t>
      </w:r>
      <w:r w:rsidR="001A5CB6" w:rsidRPr="00816DDD">
        <w:rPr>
          <w:szCs w:val="24"/>
        </w:rPr>
        <w:t>may</w:t>
      </w:r>
      <w:r w:rsidR="00545830" w:rsidRPr="00816DDD">
        <w:rPr>
          <w:rFonts w:hint="cs"/>
          <w:szCs w:val="24"/>
        </w:rPr>
        <w:t xml:space="preserve"> </w:t>
      </w:r>
      <w:r w:rsidR="00215D09" w:rsidRPr="00816DDD">
        <w:rPr>
          <w:szCs w:val="24"/>
        </w:rPr>
        <w:t xml:space="preserve">help </w:t>
      </w:r>
      <w:r w:rsidR="003B0E8E" w:rsidRPr="00816DDD">
        <w:rPr>
          <w:rFonts w:hint="cs"/>
          <w:szCs w:val="24"/>
        </w:rPr>
        <w:t>s</w:t>
      </w:r>
      <w:r w:rsidR="001A5CB6" w:rsidRPr="00816DDD">
        <w:rPr>
          <w:szCs w:val="24"/>
        </w:rPr>
        <w:t>tabilize</w:t>
      </w:r>
      <w:r w:rsidR="003B0E8E" w:rsidRPr="00816DDD">
        <w:rPr>
          <w:rFonts w:hint="cs"/>
          <w:szCs w:val="24"/>
        </w:rPr>
        <w:t xml:space="preserve"> the </w:t>
      </w:r>
      <w:r w:rsidR="00545830" w:rsidRPr="00816DDD">
        <w:rPr>
          <w:rFonts w:hint="cs"/>
          <w:szCs w:val="24"/>
        </w:rPr>
        <w:t>supply chai</w:t>
      </w:r>
      <w:r w:rsidR="00107F6E" w:rsidRPr="00816DDD">
        <w:rPr>
          <w:rFonts w:hint="cs"/>
          <w:szCs w:val="24"/>
        </w:rPr>
        <w:t>n during</w:t>
      </w:r>
      <w:r w:rsidR="00033925" w:rsidRPr="00816DDD">
        <w:rPr>
          <w:rFonts w:hint="cs"/>
          <w:szCs w:val="24"/>
        </w:rPr>
        <w:t xml:space="preserve"> </w:t>
      </w:r>
      <w:r w:rsidR="00215D09" w:rsidRPr="00816DDD">
        <w:rPr>
          <w:szCs w:val="24"/>
        </w:rPr>
        <w:t>a period of</w:t>
      </w:r>
      <w:r w:rsidR="00545830" w:rsidRPr="00816DDD">
        <w:rPr>
          <w:rFonts w:hint="cs"/>
          <w:szCs w:val="24"/>
        </w:rPr>
        <w:t xml:space="preserve"> global instability.  Lobbying </w:t>
      </w:r>
      <w:r w:rsidR="001A5CB6" w:rsidRPr="00816DDD">
        <w:rPr>
          <w:szCs w:val="24"/>
        </w:rPr>
        <w:t>can</w:t>
      </w:r>
      <w:r w:rsidR="00545830" w:rsidRPr="00816DDD">
        <w:rPr>
          <w:rFonts w:hint="cs"/>
          <w:szCs w:val="24"/>
        </w:rPr>
        <w:t xml:space="preserve"> be </w:t>
      </w:r>
      <w:r w:rsidR="003B0E8E" w:rsidRPr="00816DDD">
        <w:rPr>
          <w:rFonts w:hint="cs"/>
          <w:szCs w:val="24"/>
        </w:rPr>
        <w:t xml:space="preserve">expanded </w:t>
      </w:r>
      <w:r w:rsidR="00545830" w:rsidRPr="00816DDD">
        <w:rPr>
          <w:rFonts w:hint="cs"/>
          <w:szCs w:val="24"/>
        </w:rPr>
        <w:t xml:space="preserve">to </w:t>
      </w:r>
      <w:r w:rsidR="00033925" w:rsidRPr="00816DDD">
        <w:rPr>
          <w:rFonts w:hint="cs"/>
          <w:szCs w:val="24"/>
        </w:rPr>
        <w:t xml:space="preserve">halt </w:t>
      </w:r>
      <w:r w:rsidR="00545830" w:rsidRPr="00816DDD">
        <w:rPr>
          <w:rFonts w:hint="cs"/>
          <w:szCs w:val="24"/>
        </w:rPr>
        <w:t xml:space="preserve">proposed new </w:t>
      </w:r>
      <w:r w:rsidR="00107F6E" w:rsidRPr="00816DDD">
        <w:rPr>
          <w:rFonts w:hint="cs"/>
          <w:szCs w:val="24"/>
        </w:rPr>
        <w:t xml:space="preserve">government </w:t>
      </w:r>
      <w:r w:rsidR="00545830" w:rsidRPr="00816DDD">
        <w:rPr>
          <w:rFonts w:hint="cs"/>
          <w:szCs w:val="24"/>
        </w:rPr>
        <w:t>regulations.</w:t>
      </w:r>
      <w:r w:rsidR="00B63286" w:rsidRPr="00816DDD">
        <w:rPr>
          <w:rFonts w:hint="cs"/>
          <w:szCs w:val="24"/>
        </w:rPr>
        <w:t xml:space="preserve">  </w:t>
      </w:r>
    </w:p>
    <w:p w14:paraId="5E84B5D9" w14:textId="77777777" w:rsidR="00997B4B" w:rsidRPr="00816DDD" w:rsidRDefault="00997B4B" w:rsidP="00DB14A4">
      <w:pPr>
        <w:spacing w:after="0" w:line="240" w:lineRule="auto"/>
        <w:ind w:left="360"/>
        <w:rPr>
          <w:szCs w:val="24"/>
        </w:rPr>
      </w:pPr>
    </w:p>
    <w:p w14:paraId="67F7406B" w14:textId="63745986" w:rsidR="001A5CB6" w:rsidRPr="00816DDD" w:rsidRDefault="000102FC" w:rsidP="00DB14A4">
      <w:pPr>
        <w:spacing w:after="0" w:line="240" w:lineRule="auto"/>
        <w:ind w:left="360"/>
        <w:rPr>
          <w:rFonts w:eastAsia="+mn-ea"/>
          <w:kern w:val="24"/>
          <w:szCs w:val="24"/>
          <w:lang w:eastAsia="en-CA"/>
        </w:rPr>
      </w:pPr>
      <w:r w:rsidRPr="00816DDD">
        <w:rPr>
          <w:b/>
          <w:bCs/>
          <w:szCs w:val="24"/>
        </w:rPr>
        <w:t>Hazard risks</w:t>
      </w:r>
      <w:r w:rsidR="00DB14A4" w:rsidRPr="00816DDD">
        <w:rPr>
          <w:b/>
          <w:bCs/>
          <w:szCs w:val="24"/>
        </w:rPr>
        <w:t>.</w:t>
      </w:r>
      <w:r w:rsidR="00DB14A4" w:rsidRPr="00816DDD">
        <w:rPr>
          <w:szCs w:val="24"/>
        </w:rPr>
        <w:t xml:space="preserve"> </w:t>
      </w:r>
      <w:r w:rsidR="001A5CB6" w:rsidRPr="00816DDD">
        <w:rPr>
          <w:szCs w:val="24"/>
        </w:rPr>
        <w:t xml:space="preserve"> These p</w:t>
      </w:r>
      <w:r w:rsidRPr="00816DDD">
        <w:rPr>
          <w:rFonts w:hint="cs"/>
          <w:szCs w:val="24"/>
        </w:rPr>
        <w:t>otential losses</w:t>
      </w:r>
      <w:r w:rsidR="001A5CB6" w:rsidRPr="00816DDD">
        <w:rPr>
          <w:szCs w:val="24"/>
        </w:rPr>
        <w:t xml:space="preserve"> are</w:t>
      </w:r>
      <w:r w:rsidRPr="00816DDD">
        <w:rPr>
          <w:rFonts w:hint="cs"/>
          <w:szCs w:val="24"/>
        </w:rPr>
        <w:t xml:space="preserve"> </w:t>
      </w:r>
      <w:r w:rsidR="00270DB5" w:rsidRPr="00816DDD">
        <w:rPr>
          <w:szCs w:val="24"/>
        </w:rPr>
        <w:t xml:space="preserve">caused </w:t>
      </w:r>
      <w:r w:rsidR="001A5CB6" w:rsidRPr="00816DDD">
        <w:rPr>
          <w:szCs w:val="24"/>
        </w:rPr>
        <w:t xml:space="preserve">by </w:t>
      </w:r>
      <w:r w:rsidRPr="00816DDD">
        <w:rPr>
          <w:rFonts w:hint="cs"/>
          <w:szCs w:val="24"/>
        </w:rPr>
        <w:t>outside forces or lawsuits</w:t>
      </w:r>
      <w:r w:rsidR="00AA0B27">
        <w:rPr>
          <w:szCs w:val="24"/>
        </w:rPr>
        <w:t>,</w:t>
      </w:r>
      <w:r w:rsidR="001A5CB6" w:rsidRPr="00816DDD">
        <w:rPr>
          <w:szCs w:val="24"/>
        </w:rPr>
        <w:t xml:space="preserve"> such as:</w:t>
      </w:r>
    </w:p>
    <w:p w14:paraId="2EB236D1" w14:textId="77777777" w:rsidR="001A5CB6" w:rsidRPr="00816DDD" w:rsidRDefault="001A5CB6" w:rsidP="00DB14A4">
      <w:pPr>
        <w:spacing w:after="0" w:line="240" w:lineRule="auto"/>
        <w:ind w:left="360"/>
        <w:rPr>
          <w:rFonts w:eastAsia="+mn-ea"/>
          <w:kern w:val="24"/>
          <w:szCs w:val="24"/>
          <w:lang w:eastAsia="en-CA"/>
        </w:rPr>
      </w:pPr>
    </w:p>
    <w:p w14:paraId="3C97ECD6" w14:textId="1C346B8A" w:rsidR="001A5CB6"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F</w:t>
      </w:r>
      <w:r w:rsidR="000102FC" w:rsidRPr="00816DDD">
        <w:rPr>
          <w:rFonts w:ascii="Gisha" w:eastAsia="+mn-ea" w:hAnsi="Gisha" w:cs="Gisha" w:hint="cs"/>
          <w:kern w:val="24"/>
          <w:sz w:val="24"/>
          <w:szCs w:val="24"/>
          <w:lang w:eastAsia="en-CA"/>
        </w:rPr>
        <w:t>ire and other property damage</w:t>
      </w:r>
    </w:p>
    <w:p w14:paraId="13D49068" w14:textId="17B79383" w:rsidR="001A5CB6"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W</w:t>
      </w:r>
      <w:r w:rsidR="000102FC" w:rsidRPr="00816DDD">
        <w:rPr>
          <w:rFonts w:ascii="Gisha" w:eastAsia="+mn-ea" w:hAnsi="Gisha" w:cs="Gisha" w:hint="cs"/>
          <w:kern w:val="24"/>
          <w:sz w:val="24"/>
          <w:szCs w:val="24"/>
          <w:lang w:eastAsia="en-CA"/>
        </w:rPr>
        <w:t>indstorms, floods, and other natural perils</w:t>
      </w:r>
    </w:p>
    <w:p w14:paraId="4A2692E3" w14:textId="67DC513D" w:rsidR="001A5CB6"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T</w:t>
      </w:r>
      <w:r w:rsidR="000102FC" w:rsidRPr="00816DDD">
        <w:rPr>
          <w:rFonts w:ascii="Gisha" w:eastAsia="+mn-ea" w:hAnsi="Gisha" w:cs="Gisha" w:hint="cs"/>
          <w:kern w:val="24"/>
          <w:sz w:val="24"/>
          <w:szCs w:val="24"/>
          <w:lang w:eastAsia="en-CA"/>
        </w:rPr>
        <w:t>heft, vandalism, e</w:t>
      </w:r>
      <w:r w:rsidRPr="00816DDD">
        <w:rPr>
          <w:rFonts w:ascii="Gisha" w:eastAsia="+mn-ea" w:hAnsi="Gisha" w:cs="Gisha" w:hint="cs"/>
          <w:kern w:val="24"/>
          <w:sz w:val="24"/>
          <w:szCs w:val="24"/>
          <w:lang w:eastAsia="en-CA"/>
        </w:rPr>
        <w:t>mbezzlement</w:t>
      </w:r>
      <w:r w:rsidR="000102FC" w:rsidRPr="00816DDD">
        <w:rPr>
          <w:rFonts w:ascii="Gisha" w:eastAsia="+mn-ea" w:hAnsi="Gisha" w:cs="Gisha" w:hint="cs"/>
          <w:kern w:val="24"/>
          <w:sz w:val="24"/>
          <w:szCs w:val="24"/>
          <w:lang w:eastAsia="en-CA"/>
        </w:rPr>
        <w:t xml:space="preserve">, </w:t>
      </w:r>
      <w:r w:rsidRPr="00816DDD">
        <w:rPr>
          <w:rFonts w:ascii="Gisha" w:eastAsia="+mn-ea" w:hAnsi="Gisha" w:cs="Gisha"/>
          <w:kern w:val="24"/>
          <w:sz w:val="24"/>
          <w:szCs w:val="24"/>
          <w:lang w:eastAsia="en-CA"/>
        </w:rPr>
        <w:t xml:space="preserve">patent infringement, </w:t>
      </w:r>
      <w:r w:rsidR="000102FC" w:rsidRPr="00816DDD">
        <w:rPr>
          <w:rFonts w:ascii="Gisha" w:eastAsia="+mn-ea" w:hAnsi="Gisha" w:cs="Gisha" w:hint="cs"/>
          <w:kern w:val="24"/>
          <w:sz w:val="24"/>
          <w:szCs w:val="24"/>
          <w:lang w:eastAsia="en-CA"/>
        </w:rPr>
        <w:t xml:space="preserve">data breaches, identity theft and </w:t>
      </w:r>
      <w:r w:rsidRPr="00816DDD">
        <w:rPr>
          <w:rFonts w:ascii="Gisha" w:eastAsia="+mn-ea" w:hAnsi="Gisha" w:cs="Gisha"/>
          <w:kern w:val="24"/>
          <w:sz w:val="24"/>
          <w:szCs w:val="24"/>
          <w:lang w:eastAsia="en-CA"/>
        </w:rPr>
        <w:t>similar</w:t>
      </w:r>
      <w:r w:rsidR="000102FC" w:rsidRPr="00816DDD">
        <w:rPr>
          <w:rFonts w:ascii="Gisha" w:eastAsia="+mn-ea" w:hAnsi="Gisha" w:cs="Gisha" w:hint="cs"/>
          <w:kern w:val="24"/>
          <w:sz w:val="24"/>
          <w:szCs w:val="24"/>
          <w:lang w:eastAsia="en-CA"/>
        </w:rPr>
        <w:t xml:space="preserve"> crimes</w:t>
      </w:r>
    </w:p>
    <w:p w14:paraId="34D099D7" w14:textId="77777777" w:rsidR="001A5CB6"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C</w:t>
      </w:r>
      <w:r w:rsidR="000102FC" w:rsidRPr="00816DDD">
        <w:rPr>
          <w:rFonts w:ascii="Gisha" w:eastAsia="+mn-ea" w:hAnsi="Gisha" w:cs="Gisha" w:hint="cs"/>
          <w:kern w:val="24"/>
          <w:sz w:val="24"/>
          <w:szCs w:val="24"/>
          <w:lang w:eastAsia="en-CA"/>
        </w:rPr>
        <w:t>ommercial</w:t>
      </w:r>
      <w:r w:rsidRPr="00816DDD">
        <w:rPr>
          <w:rFonts w:ascii="Gisha" w:eastAsia="+mn-ea" w:hAnsi="Gisha" w:cs="Gisha" w:hint="cs"/>
          <w:kern w:val="24"/>
          <w:sz w:val="24"/>
          <w:szCs w:val="24"/>
          <w:lang w:eastAsia="en-CA"/>
        </w:rPr>
        <w:t xml:space="preserve">, professional, </w:t>
      </w:r>
      <w:r w:rsidR="000102FC" w:rsidRPr="00816DDD">
        <w:rPr>
          <w:rFonts w:ascii="Gisha" w:eastAsia="+mn-ea" w:hAnsi="Gisha" w:cs="Gisha" w:hint="cs"/>
          <w:kern w:val="24"/>
          <w:sz w:val="24"/>
          <w:szCs w:val="24"/>
          <w:lang w:eastAsia="en-CA"/>
        </w:rPr>
        <w:t xml:space="preserve">and product liability </w:t>
      </w:r>
    </w:p>
    <w:p w14:paraId="415A2A6F" w14:textId="5FF4F237" w:rsidR="001A5CB6"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E</w:t>
      </w:r>
      <w:r w:rsidR="000102FC" w:rsidRPr="00816DDD">
        <w:rPr>
          <w:rFonts w:ascii="Gisha" w:eastAsia="+mn-ea" w:hAnsi="Gisha" w:cs="Gisha" w:hint="cs"/>
          <w:kern w:val="24"/>
          <w:sz w:val="24"/>
          <w:szCs w:val="24"/>
          <w:lang w:eastAsia="en-CA"/>
        </w:rPr>
        <w:t>nvironmental violations</w:t>
      </w:r>
    </w:p>
    <w:p w14:paraId="50FEF641" w14:textId="365A8569" w:rsidR="001A5CB6"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H</w:t>
      </w:r>
      <w:r w:rsidR="000102FC" w:rsidRPr="00816DDD">
        <w:rPr>
          <w:rFonts w:ascii="Gisha" w:eastAsia="+mn-ea" w:hAnsi="Gisha" w:cs="Gisha" w:hint="cs"/>
          <w:kern w:val="24"/>
          <w:sz w:val="24"/>
          <w:szCs w:val="24"/>
          <w:lang w:eastAsia="en-CA"/>
        </w:rPr>
        <w:t>arassment and other workplace health and safety infractions</w:t>
      </w:r>
    </w:p>
    <w:p w14:paraId="07B71BDC" w14:textId="4A031D9A" w:rsidR="001A5CB6"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B</w:t>
      </w:r>
      <w:r w:rsidR="000102FC" w:rsidRPr="00816DDD">
        <w:rPr>
          <w:rFonts w:ascii="Gisha" w:eastAsia="+mn-ea" w:hAnsi="Gisha" w:cs="Gisha" w:hint="cs"/>
          <w:kern w:val="24"/>
          <w:sz w:val="24"/>
          <w:szCs w:val="24"/>
          <w:lang w:eastAsia="en-CA"/>
        </w:rPr>
        <w:t>usiness interruptions</w:t>
      </w:r>
      <w:r w:rsidRPr="00816DDD">
        <w:rPr>
          <w:rFonts w:ascii="Gisha" w:eastAsia="+mn-ea" w:hAnsi="Gisha" w:cs="Gisha"/>
          <w:kern w:val="24"/>
          <w:sz w:val="24"/>
          <w:szCs w:val="24"/>
          <w:lang w:eastAsia="en-CA"/>
        </w:rPr>
        <w:t xml:space="preserve"> caused by insured losses</w:t>
      </w:r>
    </w:p>
    <w:p w14:paraId="47E0F9A0" w14:textId="64FDDCD8" w:rsidR="00A327A0" w:rsidRPr="00816DDD" w:rsidRDefault="001A5CB6" w:rsidP="001A5CB6">
      <w:pPr>
        <w:pStyle w:val="ListParagraph"/>
        <w:numPr>
          <w:ilvl w:val="0"/>
          <w:numId w:val="31"/>
        </w:numPr>
        <w:spacing w:after="0" w:line="240" w:lineRule="auto"/>
        <w:rPr>
          <w:rFonts w:ascii="Gisha" w:eastAsia="+mn-ea" w:hAnsi="Gisha" w:cs="Gisha"/>
          <w:kern w:val="24"/>
          <w:sz w:val="24"/>
          <w:szCs w:val="24"/>
          <w:lang w:eastAsia="en-CA"/>
        </w:rPr>
      </w:pPr>
      <w:r w:rsidRPr="00816DDD">
        <w:rPr>
          <w:rFonts w:ascii="Gisha" w:eastAsia="+mn-ea" w:hAnsi="Gisha" w:cs="Gisha"/>
          <w:kern w:val="24"/>
          <w:sz w:val="24"/>
          <w:szCs w:val="24"/>
          <w:lang w:eastAsia="en-CA"/>
        </w:rPr>
        <w:t>L</w:t>
      </w:r>
      <w:r w:rsidR="000102FC" w:rsidRPr="00816DDD">
        <w:rPr>
          <w:rFonts w:ascii="Gisha" w:eastAsia="+mn-ea" w:hAnsi="Gisha" w:cs="Gisha" w:hint="cs"/>
          <w:kern w:val="24"/>
          <w:sz w:val="24"/>
          <w:szCs w:val="24"/>
          <w:lang w:eastAsia="en-CA"/>
        </w:rPr>
        <w:t xml:space="preserve">oss of key employees.  </w:t>
      </w:r>
    </w:p>
    <w:p w14:paraId="2594DBC4" w14:textId="77777777" w:rsidR="001A5CB6" w:rsidRPr="00816DDD" w:rsidRDefault="001A5CB6" w:rsidP="001A5CB6">
      <w:pPr>
        <w:spacing w:after="0" w:line="240" w:lineRule="auto"/>
        <w:rPr>
          <w:rFonts w:eastAsia="+mn-ea"/>
          <w:kern w:val="24"/>
          <w:szCs w:val="24"/>
          <w:lang w:eastAsia="en-CA"/>
        </w:rPr>
      </w:pPr>
    </w:p>
    <w:p w14:paraId="63AB5280" w14:textId="28DB7187" w:rsidR="001A5CB6" w:rsidRPr="00816DDD" w:rsidRDefault="001A5CB6" w:rsidP="00E242F1">
      <w:pPr>
        <w:spacing w:after="0" w:line="240" w:lineRule="auto"/>
        <w:ind w:left="360"/>
        <w:rPr>
          <w:b/>
          <w:bCs/>
          <w:szCs w:val="24"/>
        </w:rPr>
      </w:pPr>
      <w:r w:rsidRPr="00816DDD">
        <w:rPr>
          <w:rFonts w:eastAsia="+mn-ea" w:hint="cs"/>
          <w:kern w:val="24"/>
          <w:szCs w:val="24"/>
          <w:lang w:eastAsia="en-CA"/>
        </w:rPr>
        <w:t xml:space="preserve">A company </w:t>
      </w:r>
      <w:r w:rsidRPr="00816DDD">
        <w:rPr>
          <w:rFonts w:eastAsia="+mn-ea"/>
          <w:kern w:val="24"/>
          <w:szCs w:val="24"/>
          <w:lang w:eastAsia="en-CA"/>
        </w:rPr>
        <w:t xml:space="preserve">can </w:t>
      </w:r>
      <w:r w:rsidRPr="00816DDD">
        <w:rPr>
          <w:rFonts w:eastAsia="+mn-ea" w:hint="cs"/>
          <w:kern w:val="24"/>
          <w:szCs w:val="24"/>
          <w:lang w:eastAsia="en-CA"/>
        </w:rPr>
        <w:t xml:space="preserve">purchase </w:t>
      </w:r>
      <w:r w:rsidRPr="00816DDD">
        <w:rPr>
          <w:rFonts w:eastAsia="+mn-ea"/>
          <w:kern w:val="24"/>
          <w:szCs w:val="24"/>
          <w:lang w:eastAsia="en-CA"/>
        </w:rPr>
        <w:t xml:space="preserve">coverage </w:t>
      </w:r>
      <w:r w:rsidRPr="00816DDD">
        <w:rPr>
          <w:rFonts w:eastAsia="+mn-ea" w:hint="cs"/>
          <w:kern w:val="24"/>
          <w:szCs w:val="24"/>
          <w:lang w:eastAsia="en-CA"/>
        </w:rPr>
        <w:t xml:space="preserve">from an insurance </w:t>
      </w:r>
      <w:r w:rsidRPr="00816DDD">
        <w:rPr>
          <w:rFonts w:eastAsia="+mn-ea"/>
          <w:kern w:val="24"/>
          <w:szCs w:val="24"/>
          <w:lang w:eastAsia="en-CA"/>
        </w:rPr>
        <w:t xml:space="preserve">provider </w:t>
      </w:r>
      <w:r w:rsidRPr="00816DDD">
        <w:rPr>
          <w:rFonts w:eastAsia="+mn-ea" w:hint="cs"/>
          <w:kern w:val="24"/>
          <w:szCs w:val="24"/>
          <w:lang w:eastAsia="en-CA"/>
        </w:rPr>
        <w:t>to protect itself against</w:t>
      </w:r>
      <w:r w:rsidRPr="00816DDD">
        <w:rPr>
          <w:rFonts w:eastAsia="+mn-ea"/>
          <w:kern w:val="24"/>
          <w:szCs w:val="24"/>
          <w:lang w:eastAsia="en-CA"/>
        </w:rPr>
        <w:t xml:space="preserve"> </w:t>
      </w:r>
      <w:r w:rsidRPr="00816DDD">
        <w:rPr>
          <w:rFonts w:eastAsia="+mn-ea" w:hint="cs"/>
          <w:kern w:val="24"/>
          <w:szCs w:val="24"/>
          <w:lang w:eastAsia="en-CA"/>
        </w:rPr>
        <w:t>these losses</w:t>
      </w:r>
      <w:r w:rsidRPr="00816DDD">
        <w:rPr>
          <w:rFonts w:eastAsia="+mn-ea"/>
          <w:kern w:val="24"/>
          <w:szCs w:val="24"/>
          <w:lang w:eastAsia="en-CA"/>
        </w:rPr>
        <w:t xml:space="preserve"> or </w:t>
      </w:r>
      <w:r w:rsidR="00E242F1" w:rsidRPr="00816DDD">
        <w:rPr>
          <w:rFonts w:eastAsia="+mn-ea"/>
          <w:kern w:val="24"/>
          <w:szCs w:val="24"/>
          <w:lang w:eastAsia="en-CA"/>
        </w:rPr>
        <w:t xml:space="preserve">may decide to </w:t>
      </w:r>
      <w:r w:rsidRPr="00816DDD">
        <w:rPr>
          <w:rFonts w:eastAsia="+mn-ea" w:hint="cs"/>
          <w:kern w:val="24"/>
          <w:szCs w:val="24"/>
          <w:lang w:eastAsia="en-CA"/>
        </w:rPr>
        <w:t xml:space="preserve">self-insure if </w:t>
      </w:r>
      <w:r w:rsidR="00E242F1" w:rsidRPr="00816DDD">
        <w:rPr>
          <w:rFonts w:eastAsia="+mn-ea"/>
          <w:kern w:val="24"/>
          <w:szCs w:val="24"/>
          <w:lang w:eastAsia="en-CA"/>
        </w:rPr>
        <w:t xml:space="preserve">the premiums are too high or </w:t>
      </w:r>
      <w:r w:rsidRPr="00816DDD">
        <w:rPr>
          <w:rFonts w:eastAsia="+mn-ea"/>
          <w:kern w:val="24"/>
          <w:szCs w:val="24"/>
          <w:lang w:eastAsia="en-CA"/>
        </w:rPr>
        <w:t>coverage is not available</w:t>
      </w:r>
      <w:r w:rsidR="00E242F1" w:rsidRPr="00816DDD">
        <w:rPr>
          <w:rFonts w:eastAsia="+mn-ea"/>
          <w:kern w:val="24"/>
          <w:szCs w:val="24"/>
          <w:lang w:eastAsia="en-CA"/>
        </w:rPr>
        <w:t xml:space="preserve"> at any price</w:t>
      </w:r>
      <w:r w:rsidRPr="00816DDD">
        <w:rPr>
          <w:rFonts w:eastAsia="+mn-ea" w:hint="cs"/>
          <w:kern w:val="24"/>
          <w:szCs w:val="24"/>
          <w:lang w:eastAsia="en-CA"/>
        </w:rPr>
        <w:t>.</w:t>
      </w:r>
      <w:r w:rsidR="00E242F1" w:rsidRPr="00816DDD">
        <w:rPr>
          <w:rFonts w:eastAsia="+mn-ea"/>
          <w:kern w:val="24"/>
          <w:szCs w:val="24"/>
          <w:lang w:eastAsia="en-CA"/>
        </w:rPr>
        <w:t xml:space="preserve">  </w:t>
      </w:r>
      <w:r w:rsidR="00E242F1" w:rsidRPr="00816DDD">
        <w:rPr>
          <w:rFonts w:eastAsia="+mn-ea" w:hint="cs"/>
          <w:kern w:val="24"/>
          <w:szCs w:val="24"/>
          <w:lang w:eastAsia="en-CA"/>
        </w:rPr>
        <w:t xml:space="preserve">Self-insure means the organization does not carry insurance and absorbs any losses </w:t>
      </w:r>
      <w:r w:rsidR="00AA0B27">
        <w:rPr>
          <w:rFonts w:eastAsia="+mn-ea"/>
          <w:kern w:val="24"/>
          <w:szCs w:val="24"/>
          <w:lang w:eastAsia="en-CA"/>
        </w:rPr>
        <w:t>itself</w:t>
      </w:r>
      <w:r w:rsidR="00E242F1" w:rsidRPr="00816DDD">
        <w:rPr>
          <w:rFonts w:eastAsia="+mn-ea"/>
          <w:kern w:val="24"/>
          <w:szCs w:val="24"/>
          <w:lang w:eastAsia="en-CA"/>
        </w:rPr>
        <w:t xml:space="preserve"> as they occur.  It can also </w:t>
      </w:r>
      <w:r w:rsidR="00E242F1" w:rsidRPr="00816DDD">
        <w:rPr>
          <w:rFonts w:eastAsia="+mn-ea" w:hint="cs"/>
          <w:kern w:val="24"/>
          <w:szCs w:val="24"/>
          <w:lang w:eastAsia="en-CA"/>
        </w:rPr>
        <w:t xml:space="preserve">make regular contributions to a contingency fund or partner with other companies to </w:t>
      </w:r>
      <w:r w:rsidR="00E242F1" w:rsidRPr="00816DDD">
        <w:rPr>
          <w:rFonts w:eastAsia="+mn-ea"/>
          <w:kern w:val="24"/>
          <w:szCs w:val="24"/>
          <w:lang w:eastAsia="en-CA"/>
        </w:rPr>
        <w:t>cover future losses</w:t>
      </w:r>
      <w:r w:rsidR="00E242F1" w:rsidRPr="00816DDD">
        <w:rPr>
          <w:rFonts w:eastAsia="+mn-ea" w:hint="cs"/>
          <w:kern w:val="24"/>
          <w:szCs w:val="24"/>
          <w:lang w:eastAsia="en-CA"/>
        </w:rPr>
        <w:t xml:space="preserve">.  </w:t>
      </w:r>
    </w:p>
    <w:p w14:paraId="1054390A" w14:textId="77777777" w:rsidR="00E242F1" w:rsidRPr="00816DDD" w:rsidRDefault="00E242F1" w:rsidP="00DB14A4">
      <w:pPr>
        <w:spacing w:after="0" w:line="240" w:lineRule="auto"/>
        <w:ind w:left="360"/>
        <w:rPr>
          <w:b/>
          <w:bCs/>
          <w:szCs w:val="24"/>
        </w:rPr>
      </w:pPr>
    </w:p>
    <w:p w14:paraId="275D80BC" w14:textId="416E85C5" w:rsidR="00DB14A4" w:rsidRPr="00816DDD" w:rsidRDefault="000102FC" w:rsidP="00DB14A4">
      <w:pPr>
        <w:spacing w:after="0" w:line="240" w:lineRule="auto"/>
        <w:ind w:left="360"/>
        <w:rPr>
          <w:szCs w:val="24"/>
        </w:rPr>
      </w:pPr>
      <w:r w:rsidRPr="00816DDD">
        <w:rPr>
          <w:b/>
          <w:bCs/>
          <w:szCs w:val="24"/>
        </w:rPr>
        <w:t>Financial risk</w:t>
      </w:r>
      <w:r w:rsidR="00DB14A4" w:rsidRPr="00816DDD">
        <w:rPr>
          <w:b/>
          <w:bCs/>
          <w:szCs w:val="24"/>
        </w:rPr>
        <w:t>s.</w:t>
      </w:r>
      <w:r w:rsidR="00DB14A4" w:rsidRPr="00816DDD">
        <w:rPr>
          <w:szCs w:val="24"/>
        </w:rPr>
        <w:t xml:space="preserve">  </w:t>
      </w:r>
      <w:bookmarkStart w:id="1" w:name="_Hlk168408677"/>
      <w:r w:rsidR="001A5CB6" w:rsidRPr="00816DDD">
        <w:rPr>
          <w:szCs w:val="24"/>
        </w:rPr>
        <w:t>These are p</w:t>
      </w:r>
      <w:r w:rsidR="00DB14A4" w:rsidRPr="00816DDD">
        <w:rPr>
          <w:szCs w:val="24"/>
        </w:rPr>
        <w:t>otential l</w:t>
      </w:r>
      <w:r w:rsidRPr="00816DDD">
        <w:rPr>
          <w:szCs w:val="24"/>
        </w:rPr>
        <w:t xml:space="preserve">osses </w:t>
      </w:r>
      <w:r w:rsidR="006052EA" w:rsidRPr="00816DDD">
        <w:rPr>
          <w:szCs w:val="24"/>
        </w:rPr>
        <w:t xml:space="preserve">due to </w:t>
      </w:r>
      <w:r w:rsidRPr="00816DDD">
        <w:rPr>
          <w:rFonts w:hint="cs"/>
          <w:szCs w:val="24"/>
        </w:rPr>
        <w:t xml:space="preserve">exchange </w:t>
      </w:r>
      <w:r w:rsidR="00142B1B">
        <w:rPr>
          <w:szCs w:val="24"/>
        </w:rPr>
        <w:t>rates</w:t>
      </w:r>
      <w:r w:rsidRPr="00816DDD">
        <w:rPr>
          <w:rFonts w:hint="cs"/>
          <w:szCs w:val="24"/>
        </w:rPr>
        <w:t xml:space="preserve">, interest </w:t>
      </w:r>
      <w:r w:rsidR="00142B1B">
        <w:rPr>
          <w:szCs w:val="24"/>
        </w:rPr>
        <w:t>rates</w:t>
      </w:r>
      <w:r w:rsidRPr="00816DDD">
        <w:rPr>
          <w:rFonts w:hint="cs"/>
          <w:szCs w:val="24"/>
        </w:rPr>
        <w:t xml:space="preserve">, and commodity price movements. </w:t>
      </w:r>
      <w:r w:rsidRPr="00816DDD">
        <w:rPr>
          <w:szCs w:val="24"/>
        </w:rPr>
        <w:t xml:space="preserve"> </w:t>
      </w:r>
      <w:r w:rsidR="00DB14A4" w:rsidRPr="00816DDD">
        <w:rPr>
          <w:szCs w:val="24"/>
        </w:rPr>
        <w:t xml:space="preserve">A hedge allows a company </w:t>
      </w:r>
      <w:r w:rsidR="001A5CB6" w:rsidRPr="00816DDD">
        <w:rPr>
          <w:szCs w:val="24"/>
        </w:rPr>
        <w:t xml:space="preserve">or </w:t>
      </w:r>
      <w:r w:rsidR="00DB14A4" w:rsidRPr="00816DDD">
        <w:rPr>
          <w:szCs w:val="24"/>
        </w:rPr>
        <w:t>hedger to transfer its financial risk</w:t>
      </w:r>
      <w:r w:rsidR="001A5CB6" w:rsidRPr="00816DDD">
        <w:rPr>
          <w:szCs w:val="24"/>
        </w:rPr>
        <w:t>s</w:t>
      </w:r>
      <w:r w:rsidR="00DB14A4" w:rsidRPr="00816DDD">
        <w:rPr>
          <w:szCs w:val="24"/>
        </w:rPr>
        <w:t xml:space="preserve"> to a </w:t>
      </w:r>
      <w:r w:rsidR="00142B1B">
        <w:rPr>
          <w:szCs w:val="24"/>
        </w:rPr>
        <w:t>third party</w:t>
      </w:r>
      <w:r w:rsidR="00DB14A4" w:rsidRPr="00816DDD">
        <w:rPr>
          <w:rFonts w:hint="cs"/>
          <w:szCs w:val="24"/>
        </w:rPr>
        <w:t xml:space="preserve"> </w:t>
      </w:r>
      <w:r w:rsidR="001A5CB6" w:rsidRPr="00816DDD">
        <w:rPr>
          <w:szCs w:val="24"/>
        </w:rPr>
        <w:t>or s</w:t>
      </w:r>
      <w:r w:rsidR="00DB14A4" w:rsidRPr="00816DDD">
        <w:rPr>
          <w:szCs w:val="24"/>
        </w:rPr>
        <w:t>peculator</w:t>
      </w:r>
      <w:r w:rsidR="001A5CB6" w:rsidRPr="00816DDD">
        <w:rPr>
          <w:szCs w:val="24"/>
        </w:rPr>
        <w:t xml:space="preserve"> </w:t>
      </w:r>
      <w:r w:rsidR="00DB14A4" w:rsidRPr="00816DDD">
        <w:rPr>
          <w:szCs w:val="24"/>
        </w:rPr>
        <w:t xml:space="preserve">by </w:t>
      </w:r>
      <w:r w:rsidR="00716CD9" w:rsidRPr="00816DDD">
        <w:rPr>
          <w:szCs w:val="24"/>
        </w:rPr>
        <w:t>entering</w:t>
      </w:r>
      <w:r w:rsidR="00142B1B" w:rsidRPr="00816DDD">
        <w:rPr>
          <w:szCs w:val="24"/>
        </w:rPr>
        <w:t xml:space="preserve"> </w:t>
      </w:r>
      <w:r w:rsidR="00DB14A4" w:rsidRPr="00816DDD">
        <w:rPr>
          <w:szCs w:val="24"/>
        </w:rPr>
        <w:t xml:space="preserve">a derivative contract.  These contracts </w:t>
      </w:r>
      <w:r w:rsidR="00D21B59" w:rsidRPr="00816DDD">
        <w:rPr>
          <w:szCs w:val="24"/>
        </w:rPr>
        <w:t>“</w:t>
      </w:r>
      <w:r w:rsidR="00DB14A4" w:rsidRPr="00816DDD">
        <w:rPr>
          <w:szCs w:val="24"/>
        </w:rPr>
        <w:t>derive</w:t>
      </w:r>
      <w:r w:rsidR="00D21B59" w:rsidRPr="00816DDD">
        <w:rPr>
          <w:szCs w:val="24"/>
        </w:rPr>
        <w:t>”</w:t>
      </w:r>
      <w:r w:rsidR="00DB14A4" w:rsidRPr="00816DDD">
        <w:rPr>
          <w:szCs w:val="24"/>
        </w:rPr>
        <w:t xml:space="preserve"> their value from an underlying asset, interest rate, or index </w:t>
      </w:r>
      <w:r w:rsidR="001A5CB6" w:rsidRPr="00816DDD">
        <w:rPr>
          <w:szCs w:val="24"/>
        </w:rPr>
        <w:t xml:space="preserve">that </w:t>
      </w:r>
      <w:r w:rsidR="00DB14A4" w:rsidRPr="00816DDD">
        <w:rPr>
          <w:szCs w:val="24"/>
        </w:rPr>
        <w:t>move</w:t>
      </w:r>
      <w:r w:rsidR="001A5CB6" w:rsidRPr="00816DDD">
        <w:rPr>
          <w:szCs w:val="24"/>
        </w:rPr>
        <w:t>s</w:t>
      </w:r>
      <w:r w:rsidR="00DB14A4" w:rsidRPr="00816DDD">
        <w:rPr>
          <w:szCs w:val="24"/>
        </w:rPr>
        <w:t xml:space="preserve"> in the opposite direction to the hedger’s underlying position</w:t>
      </w:r>
      <w:r w:rsidR="00AA0B27">
        <w:rPr>
          <w:szCs w:val="24"/>
        </w:rPr>
        <w:t>,</w:t>
      </w:r>
      <w:r w:rsidR="00DB14A4" w:rsidRPr="00816DDD">
        <w:rPr>
          <w:szCs w:val="24"/>
        </w:rPr>
        <w:t xml:space="preserve"> offsetting </w:t>
      </w:r>
      <w:r w:rsidR="001A5CB6" w:rsidRPr="00816DDD">
        <w:rPr>
          <w:szCs w:val="24"/>
        </w:rPr>
        <w:t>any</w:t>
      </w:r>
      <w:r w:rsidR="00DB14A4" w:rsidRPr="00816DDD">
        <w:rPr>
          <w:szCs w:val="24"/>
        </w:rPr>
        <w:t xml:space="preserve"> </w:t>
      </w:r>
      <w:r w:rsidR="001A5CB6" w:rsidRPr="00816DDD">
        <w:rPr>
          <w:szCs w:val="24"/>
        </w:rPr>
        <w:t>pre-</w:t>
      </w:r>
      <w:r w:rsidR="00DB14A4" w:rsidRPr="00816DDD">
        <w:rPr>
          <w:szCs w:val="24"/>
        </w:rPr>
        <w:t xml:space="preserve">existing risk.  Speculators try to profit from forecasted short-term </w:t>
      </w:r>
      <w:r w:rsidR="006052EA" w:rsidRPr="00816DDD">
        <w:rPr>
          <w:szCs w:val="24"/>
        </w:rPr>
        <w:t xml:space="preserve">price </w:t>
      </w:r>
      <w:r w:rsidR="00DB14A4" w:rsidRPr="00816DDD">
        <w:rPr>
          <w:szCs w:val="24"/>
        </w:rPr>
        <w:t>movements</w:t>
      </w:r>
      <w:r w:rsidR="001A5CB6" w:rsidRPr="00816DDD">
        <w:rPr>
          <w:szCs w:val="24"/>
        </w:rPr>
        <w:t xml:space="preserve"> </w:t>
      </w:r>
      <w:r w:rsidR="00EB0D96" w:rsidRPr="00816DDD">
        <w:rPr>
          <w:szCs w:val="24"/>
        </w:rPr>
        <w:t>and</w:t>
      </w:r>
      <w:r w:rsidR="00AA0B27">
        <w:rPr>
          <w:szCs w:val="24"/>
        </w:rPr>
        <w:t>,</w:t>
      </w:r>
      <w:r w:rsidR="00EB0D96" w:rsidRPr="00816DDD">
        <w:rPr>
          <w:szCs w:val="24"/>
        </w:rPr>
        <w:t xml:space="preserve"> </w:t>
      </w:r>
      <w:r w:rsidR="001A5CB6" w:rsidRPr="00816DDD">
        <w:rPr>
          <w:szCs w:val="24"/>
        </w:rPr>
        <w:t>in the process</w:t>
      </w:r>
      <w:r w:rsidR="00AA0B27">
        <w:rPr>
          <w:szCs w:val="24"/>
        </w:rPr>
        <w:t>,</w:t>
      </w:r>
      <w:r w:rsidR="001A5CB6" w:rsidRPr="00816DDD">
        <w:rPr>
          <w:szCs w:val="24"/>
        </w:rPr>
        <w:t xml:space="preserve"> </w:t>
      </w:r>
      <w:r w:rsidR="00EB0D96" w:rsidRPr="00816DDD">
        <w:rPr>
          <w:szCs w:val="24"/>
        </w:rPr>
        <w:t xml:space="preserve">absorb the </w:t>
      </w:r>
      <w:r w:rsidR="00DB14A4" w:rsidRPr="00816DDD">
        <w:rPr>
          <w:szCs w:val="24"/>
        </w:rPr>
        <w:t>hedger</w:t>
      </w:r>
      <w:r w:rsidR="00EB0D96" w:rsidRPr="00816DDD">
        <w:rPr>
          <w:szCs w:val="24"/>
        </w:rPr>
        <w:t>’</w:t>
      </w:r>
      <w:r w:rsidR="00DB14A4" w:rsidRPr="00816DDD">
        <w:rPr>
          <w:szCs w:val="24"/>
        </w:rPr>
        <w:t>s</w:t>
      </w:r>
      <w:r w:rsidR="00EB0D96" w:rsidRPr="00816DDD">
        <w:rPr>
          <w:szCs w:val="24"/>
        </w:rPr>
        <w:t xml:space="preserve"> risk</w:t>
      </w:r>
      <w:r w:rsidR="00DB14A4" w:rsidRPr="00816DDD">
        <w:rPr>
          <w:szCs w:val="24"/>
        </w:rPr>
        <w:t>.</w:t>
      </w:r>
      <w:r w:rsidR="00D21B59" w:rsidRPr="00816DDD">
        <w:rPr>
          <w:szCs w:val="24"/>
        </w:rPr>
        <w:t xml:space="preserve">  These contracts include forwards, futures, swaps, and options.</w:t>
      </w:r>
      <w:r w:rsidR="00EB0D96" w:rsidRPr="00816DDD">
        <w:rPr>
          <w:szCs w:val="24"/>
        </w:rPr>
        <w:t xml:space="preserve"> </w:t>
      </w:r>
    </w:p>
    <w:p w14:paraId="18A0E01A" w14:textId="77777777" w:rsidR="00DB14A4" w:rsidRPr="00816DDD" w:rsidRDefault="00DB14A4" w:rsidP="00DB14A4">
      <w:pPr>
        <w:spacing w:after="0" w:line="240" w:lineRule="auto"/>
        <w:rPr>
          <w:szCs w:val="24"/>
        </w:rPr>
      </w:pPr>
    </w:p>
    <w:p w14:paraId="4032A40D" w14:textId="5CAF3362" w:rsidR="00DB14A4" w:rsidRPr="00816DDD" w:rsidRDefault="00DB14A4" w:rsidP="00DB14A4">
      <w:pPr>
        <w:spacing w:after="0" w:line="240" w:lineRule="auto"/>
        <w:ind w:left="360"/>
        <w:rPr>
          <w:szCs w:val="24"/>
        </w:rPr>
      </w:pPr>
      <w:r w:rsidRPr="00816DDD">
        <w:rPr>
          <w:szCs w:val="24"/>
        </w:rPr>
        <w:t xml:space="preserve">For example, a farm plants wheat and expects to receive CAD 710 per bushel in four months, but agricultural prices fluctuate </w:t>
      </w:r>
      <w:r w:rsidR="001A5CB6" w:rsidRPr="00816DDD">
        <w:rPr>
          <w:szCs w:val="24"/>
        </w:rPr>
        <w:t xml:space="preserve">a great deal </w:t>
      </w:r>
      <w:r w:rsidRPr="00816DDD">
        <w:rPr>
          <w:szCs w:val="24"/>
        </w:rPr>
        <w:t xml:space="preserve">due to weather and geopolitical factors.  The farm is concerned that if the price falls far below CAD 710, it will not be able to cover its production costs and could go bankrupt. The farm enters a derivative contract </w:t>
      </w:r>
      <w:r w:rsidR="00D21B59" w:rsidRPr="00816DDD">
        <w:rPr>
          <w:szCs w:val="24"/>
        </w:rPr>
        <w:t xml:space="preserve">with </w:t>
      </w:r>
      <w:r w:rsidRPr="00816DDD">
        <w:rPr>
          <w:szCs w:val="24"/>
        </w:rPr>
        <w:t xml:space="preserve">a speculator.  The contract states that if the price rises above CAD 710, the speculator will </w:t>
      </w:r>
      <w:r w:rsidRPr="00816DDD">
        <w:rPr>
          <w:szCs w:val="24"/>
        </w:rPr>
        <w:lastRenderedPageBreak/>
        <w:t xml:space="preserve">receive </w:t>
      </w:r>
      <w:r w:rsidR="00142B1B">
        <w:rPr>
          <w:szCs w:val="24"/>
        </w:rPr>
        <w:t>an</w:t>
      </w:r>
      <w:r w:rsidRPr="00816DDD">
        <w:rPr>
          <w:szCs w:val="24"/>
        </w:rPr>
        <w:t xml:space="preserve"> amount </w:t>
      </w:r>
      <w:r w:rsidR="00EB0D96" w:rsidRPr="00816DDD">
        <w:rPr>
          <w:szCs w:val="24"/>
        </w:rPr>
        <w:t>greater than</w:t>
      </w:r>
      <w:r w:rsidRPr="00816DDD">
        <w:rPr>
          <w:szCs w:val="24"/>
        </w:rPr>
        <w:t xml:space="preserve"> CAD 710, but if it falls below CAD 710, the speculator will pay the farmer the difference.  The farm benefits from being able to </w:t>
      </w:r>
      <w:r w:rsidR="00142B1B">
        <w:rPr>
          <w:szCs w:val="24"/>
        </w:rPr>
        <w:t>lock in</w:t>
      </w:r>
      <w:r w:rsidRPr="00816DDD">
        <w:rPr>
          <w:szCs w:val="24"/>
        </w:rPr>
        <w:t xml:space="preserve"> CAD 710 regardless of what happens to the price of wheat, but it had to give up any profit above CAD 710 to the speculator</w:t>
      </w:r>
      <w:r w:rsidR="001A5CB6" w:rsidRPr="00816DDD">
        <w:rPr>
          <w:szCs w:val="24"/>
        </w:rPr>
        <w:t xml:space="preserve"> for this protection</w:t>
      </w:r>
      <w:r w:rsidRPr="00816DDD">
        <w:rPr>
          <w:szCs w:val="24"/>
        </w:rPr>
        <w:t>.  The speculator enters this contract because it forecasts wheat prices will rise above CAD 710.  It makes a profit if it is right</w:t>
      </w:r>
      <w:r w:rsidR="00AA0B27">
        <w:rPr>
          <w:szCs w:val="24"/>
        </w:rPr>
        <w:t>,</w:t>
      </w:r>
      <w:r w:rsidRPr="00816DDD">
        <w:rPr>
          <w:szCs w:val="24"/>
        </w:rPr>
        <w:t xml:space="preserve"> but </w:t>
      </w:r>
      <w:r w:rsidR="00AA0B27">
        <w:rPr>
          <w:szCs w:val="24"/>
        </w:rPr>
        <w:t xml:space="preserve">it </w:t>
      </w:r>
      <w:r w:rsidRPr="00816DDD">
        <w:rPr>
          <w:szCs w:val="24"/>
        </w:rPr>
        <w:t>loses</w:t>
      </w:r>
      <w:r w:rsidR="005479B9" w:rsidRPr="00816DDD">
        <w:rPr>
          <w:szCs w:val="24"/>
        </w:rPr>
        <w:t xml:space="preserve"> </w:t>
      </w:r>
      <w:r w:rsidRPr="00816DDD">
        <w:rPr>
          <w:szCs w:val="24"/>
        </w:rPr>
        <w:t xml:space="preserve">if the price falls below CAD 710.  </w:t>
      </w:r>
      <w:r w:rsidR="00EB0D96" w:rsidRPr="00816DDD">
        <w:rPr>
          <w:szCs w:val="24"/>
        </w:rPr>
        <w:t>Put another way, the farm has an underlying position in an asset</w:t>
      </w:r>
      <w:r w:rsidR="00AA0B27">
        <w:rPr>
          <w:szCs w:val="24"/>
        </w:rPr>
        <w:t>,</w:t>
      </w:r>
      <w:r w:rsidR="00EB0D96" w:rsidRPr="00816DDD">
        <w:rPr>
          <w:szCs w:val="24"/>
        </w:rPr>
        <w:t xml:space="preserve"> which is wheat.  If the price of wheat rises, the value of the wheat asset is higher, but this is offset by the negative value of the derivative contract</w:t>
      </w:r>
      <w:r w:rsidR="001A5CB6" w:rsidRPr="00816DDD">
        <w:rPr>
          <w:szCs w:val="24"/>
        </w:rPr>
        <w:t>.  If the value of the wheat asset falls, this will be offset by the positive value of the derivative contract.</w:t>
      </w:r>
    </w:p>
    <w:bookmarkEnd w:id="1"/>
    <w:p w14:paraId="6F2A2192" w14:textId="77777777" w:rsidR="000102FC" w:rsidRPr="00816DDD" w:rsidRDefault="000102FC" w:rsidP="00DB14A4">
      <w:pPr>
        <w:spacing w:after="0" w:line="240" w:lineRule="auto"/>
        <w:ind w:right="-126"/>
        <w:rPr>
          <w:rFonts w:eastAsia="+mn-ea"/>
          <w:kern w:val="24"/>
          <w:szCs w:val="24"/>
          <w:lang w:eastAsia="en-CA"/>
        </w:rPr>
      </w:pPr>
    </w:p>
    <w:p w14:paraId="257CB1FF" w14:textId="4D3B5D42" w:rsidR="00E81FFE" w:rsidRPr="00816DDD" w:rsidRDefault="00DB14A4" w:rsidP="0051511B">
      <w:pPr>
        <w:spacing w:after="0" w:line="240" w:lineRule="auto"/>
        <w:ind w:right="-306"/>
        <w:rPr>
          <w:szCs w:val="24"/>
        </w:rPr>
      </w:pPr>
      <w:r w:rsidRPr="00816DDD">
        <w:rPr>
          <w:szCs w:val="24"/>
        </w:rPr>
        <w:t>Finance professionals</w:t>
      </w:r>
      <w:r w:rsidR="00AA0B27">
        <w:rPr>
          <w:szCs w:val="24"/>
        </w:rPr>
        <w:t>,</w:t>
      </w:r>
      <w:r w:rsidRPr="00816DDD">
        <w:rPr>
          <w:szCs w:val="24"/>
        </w:rPr>
        <w:t xml:space="preserve"> including the </w:t>
      </w:r>
      <w:r w:rsidRPr="00816DDD">
        <w:rPr>
          <w:rFonts w:hint="cs"/>
          <w:szCs w:val="24"/>
        </w:rPr>
        <w:t>chief financial officer, controller, and treasurer</w:t>
      </w:r>
      <w:r w:rsidR="00AA0B27">
        <w:rPr>
          <w:szCs w:val="24"/>
        </w:rPr>
        <w:t>,</w:t>
      </w:r>
      <w:r w:rsidRPr="00816DDD">
        <w:rPr>
          <w:rFonts w:hint="cs"/>
          <w:szCs w:val="24"/>
        </w:rPr>
        <w:t xml:space="preserve"> </w:t>
      </w:r>
      <w:r w:rsidRPr="00816DDD">
        <w:rPr>
          <w:szCs w:val="24"/>
        </w:rPr>
        <w:t>are responsible for managing</w:t>
      </w:r>
      <w:r w:rsidRPr="00816DDD">
        <w:rPr>
          <w:rFonts w:hint="cs"/>
          <w:szCs w:val="24"/>
        </w:rPr>
        <w:t xml:space="preserve"> hazard and financial risks.  </w:t>
      </w:r>
      <w:r w:rsidRPr="00816DDD">
        <w:rPr>
          <w:szCs w:val="24"/>
        </w:rPr>
        <w:t>The remainder of th</w:t>
      </w:r>
      <w:r w:rsidR="00EB0D96" w:rsidRPr="00816DDD">
        <w:rPr>
          <w:szCs w:val="24"/>
        </w:rPr>
        <w:t xml:space="preserve">e </w:t>
      </w:r>
      <w:r w:rsidRPr="00816DDD">
        <w:rPr>
          <w:szCs w:val="24"/>
        </w:rPr>
        <w:t xml:space="preserve">module </w:t>
      </w:r>
      <w:r w:rsidR="001A5CB6" w:rsidRPr="00816DDD">
        <w:rPr>
          <w:szCs w:val="24"/>
        </w:rPr>
        <w:t xml:space="preserve">will </w:t>
      </w:r>
      <w:r w:rsidRPr="00816DDD">
        <w:rPr>
          <w:szCs w:val="24"/>
        </w:rPr>
        <w:t>focus on these</w:t>
      </w:r>
      <w:r w:rsidR="00EB0D96" w:rsidRPr="00816DDD">
        <w:rPr>
          <w:szCs w:val="24"/>
        </w:rPr>
        <w:t xml:space="preserve"> r</w:t>
      </w:r>
      <w:r w:rsidRPr="00816DDD">
        <w:rPr>
          <w:szCs w:val="24"/>
        </w:rPr>
        <w:t>isk</w:t>
      </w:r>
      <w:r w:rsidR="00EB0D96" w:rsidRPr="00816DDD">
        <w:rPr>
          <w:szCs w:val="24"/>
        </w:rPr>
        <w:t>s</w:t>
      </w:r>
      <w:r w:rsidRPr="00816DDD">
        <w:rPr>
          <w:szCs w:val="24"/>
        </w:rPr>
        <w:t>.</w:t>
      </w:r>
    </w:p>
    <w:p w14:paraId="3568DBE6" w14:textId="77777777" w:rsidR="00D21B59" w:rsidRPr="00816DDD" w:rsidRDefault="00D21B59" w:rsidP="000102FC">
      <w:pPr>
        <w:widowControl w:val="0"/>
        <w:spacing w:after="0" w:line="240" w:lineRule="auto"/>
        <w:rPr>
          <w:szCs w:val="24"/>
        </w:rPr>
      </w:pPr>
    </w:p>
    <w:p w14:paraId="64EC81DB" w14:textId="567AF694" w:rsidR="000102FC" w:rsidRPr="00816DDD" w:rsidRDefault="0033153B" w:rsidP="000102FC">
      <w:pPr>
        <w:widowControl w:val="0"/>
        <w:numPr>
          <w:ilvl w:val="1"/>
          <w:numId w:val="4"/>
        </w:numPr>
        <w:spacing w:after="0" w:line="240" w:lineRule="auto"/>
        <w:contextualSpacing/>
        <w:rPr>
          <w:b/>
          <w:szCs w:val="24"/>
        </w:rPr>
      </w:pPr>
      <w:r w:rsidRPr="00816DDD">
        <w:rPr>
          <w:b/>
          <w:szCs w:val="24"/>
        </w:rPr>
        <w:t xml:space="preserve">Business </w:t>
      </w:r>
      <w:r w:rsidR="00E242F1" w:rsidRPr="00816DDD">
        <w:rPr>
          <w:b/>
          <w:szCs w:val="24"/>
        </w:rPr>
        <w:t>Insurance</w:t>
      </w:r>
    </w:p>
    <w:p w14:paraId="603EAA6A" w14:textId="77777777" w:rsidR="000102FC" w:rsidRPr="00816DDD" w:rsidRDefault="003C4EC4" w:rsidP="000102FC">
      <w:pPr>
        <w:widowControl w:val="0"/>
        <w:spacing w:after="0" w:line="240" w:lineRule="auto"/>
        <w:contextualSpacing/>
        <w:rPr>
          <w:b/>
          <w:szCs w:val="24"/>
        </w:rPr>
      </w:pPr>
      <w:r>
        <w:rPr>
          <w:szCs w:val="24"/>
        </w:rPr>
        <w:pict w14:anchorId="3B7BB4E9">
          <v:rect id="_x0000_i1030" style="width:0;height:1.5pt" o:hralign="center" o:hrstd="t" o:hr="t" fillcolor="#a0a0a0" stroked="f"/>
        </w:pict>
      </w:r>
    </w:p>
    <w:p w14:paraId="6791421D" w14:textId="77777777" w:rsidR="00BF7E81" w:rsidRPr="00816DDD" w:rsidRDefault="00BF7E81" w:rsidP="0033153B">
      <w:pPr>
        <w:spacing w:after="0" w:line="240" w:lineRule="auto"/>
        <w:ind w:right="-126"/>
        <w:rPr>
          <w:rFonts w:eastAsia="+mn-ea"/>
          <w:kern w:val="24"/>
          <w:szCs w:val="24"/>
          <w:lang w:eastAsia="en-CA"/>
        </w:rPr>
      </w:pPr>
    </w:p>
    <w:p w14:paraId="7B68334C" w14:textId="39F73E59" w:rsidR="00570A3D" w:rsidRPr="00816DDD" w:rsidRDefault="00BF7E81" w:rsidP="0033153B">
      <w:pPr>
        <w:spacing w:after="0" w:line="240" w:lineRule="auto"/>
        <w:ind w:right="-126"/>
        <w:rPr>
          <w:rFonts w:eastAsia="+mn-ea"/>
          <w:b/>
          <w:bCs/>
          <w:kern w:val="24"/>
          <w:szCs w:val="24"/>
          <w:lang w:eastAsia="en-CA"/>
        </w:rPr>
      </w:pPr>
      <w:r w:rsidRPr="00816DDD">
        <w:rPr>
          <w:rFonts w:eastAsia="+mn-ea"/>
          <w:b/>
          <w:bCs/>
          <w:kern w:val="24"/>
          <w:szCs w:val="24"/>
          <w:lang w:eastAsia="en-CA"/>
        </w:rPr>
        <w:t>Insurance Fundamentals</w:t>
      </w:r>
    </w:p>
    <w:p w14:paraId="6EDE0863" w14:textId="77777777" w:rsidR="00570A3D" w:rsidRPr="00816DDD" w:rsidRDefault="00570A3D" w:rsidP="0033153B">
      <w:pPr>
        <w:spacing w:after="0" w:line="240" w:lineRule="auto"/>
        <w:ind w:right="-126"/>
        <w:rPr>
          <w:rFonts w:eastAsia="+mn-ea"/>
          <w:kern w:val="24"/>
          <w:szCs w:val="24"/>
          <w:lang w:eastAsia="en-CA"/>
        </w:rPr>
      </w:pPr>
    </w:p>
    <w:p w14:paraId="627AF893" w14:textId="6AC5112F" w:rsidR="00DA4343" w:rsidRPr="00816DDD" w:rsidRDefault="00E242F1" w:rsidP="0051511B">
      <w:pPr>
        <w:spacing w:after="0" w:line="240" w:lineRule="auto"/>
        <w:ind w:right="-396"/>
        <w:rPr>
          <w:rFonts w:eastAsia="+mn-ea"/>
          <w:kern w:val="24"/>
          <w:szCs w:val="24"/>
          <w:lang w:eastAsia="en-CA"/>
        </w:rPr>
      </w:pPr>
      <w:r w:rsidRPr="00816DDD">
        <w:rPr>
          <w:rFonts w:eastAsia="+mn-ea"/>
          <w:kern w:val="24"/>
          <w:szCs w:val="24"/>
          <w:lang w:eastAsia="en-CA"/>
        </w:rPr>
        <w:t xml:space="preserve">Insurance allows a party to protect itself from </w:t>
      </w:r>
      <w:r w:rsidR="00DA4343" w:rsidRPr="00816DDD">
        <w:rPr>
          <w:rFonts w:eastAsia="+mn-ea"/>
          <w:kern w:val="24"/>
          <w:szCs w:val="24"/>
          <w:lang w:eastAsia="en-CA"/>
        </w:rPr>
        <w:t xml:space="preserve">financial </w:t>
      </w:r>
      <w:r w:rsidRPr="00816DDD">
        <w:rPr>
          <w:rFonts w:eastAsia="+mn-ea"/>
          <w:kern w:val="24"/>
          <w:szCs w:val="24"/>
          <w:lang w:eastAsia="en-CA"/>
        </w:rPr>
        <w:t>loss by purchasing coverage from another party in exchange for a fee.  The legal agreement between the two parties is call</w:t>
      </w:r>
      <w:r w:rsidR="00570A3D" w:rsidRPr="00816DDD">
        <w:rPr>
          <w:rFonts w:eastAsia="+mn-ea"/>
          <w:kern w:val="24"/>
          <w:szCs w:val="24"/>
          <w:lang w:eastAsia="en-CA"/>
        </w:rPr>
        <w:t>ed</w:t>
      </w:r>
      <w:r w:rsidRPr="00816DDD">
        <w:rPr>
          <w:rFonts w:eastAsia="+mn-ea"/>
          <w:kern w:val="24"/>
          <w:szCs w:val="24"/>
          <w:lang w:eastAsia="en-CA"/>
        </w:rPr>
        <w:t xml:space="preserve"> </w:t>
      </w:r>
      <w:r w:rsidR="00DA4343" w:rsidRPr="00816DDD">
        <w:rPr>
          <w:rFonts w:eastAsia="+mn-ea"/>
          <w:kern w:val="24"/>
          <w:szCs w:val="24"/>
          <w:lang w:eastAsia="en-CA"/>
        </w:rPr>
        <w:t>an</w:t>
      </w:r>
      <w:r w:rsidRPr="00816DDD">
        <w:rPr>
          <w:rFonts w:eastAsia="+mn-ea"/>
          <w:kern w:val="24"/>
          <w:szCs w:val="24"/>
          <w:lang w:eastAsia="en-CA"/>
        </w:rPr>
        <w:t xml:space="preserve"> insurance policy.  The party providing the coverage is the insurance company</w:t>
      </w:r>
      <w:r w:rsidR="00AA0B27">
        <w:rPr>
          <w:rFonts w:eastAsia="+mn-ea"/>
          <w:kern w:val="24"/>
          <w:szCs w:val="24"/>
          <w:lang w:eastAsia="en-CA"/>
        </w:rPr>
        <w:t>,</w:t>
      </w:r>
      <w:r w:rsidRPr="00816DDD">
        <w:rPr>
          <w:rFonts w:eastAsia="+mn-ea"/>
          <w:kern w:val="24"/>
          <w:szCs w:val="24"/>
          <w:lang w:eastAsia="en-CA"/>
        </w:rPr>
        <w:t xml:space="preserve"> a</w:t>
      </w:r>
      <w:r w:rsidR="00BF7E81" w:rsidRPr="00816DDD">
        <w:rPr>
          <w:rFonts w:eastAsia="+mn-ea"/>
          <w:kern w:val="24"/>
          <w:szCs w:val="24"/>
          <w:lang w:eastAsia="en-CA"/>
        </w:rPr>
        <w:t xml:space="preserve">lso referred to as </w:t>
      </w:r>
      <w:r w:rsidRPr="00816DDD">
        <w:rPr>
          <w:rFonts w:eastAsia="+mn-ea"/>
          <w:kern w:val="24"/>
          <w:szCs w:val="24"/>
          <w:lang w:eastAsia="en-CA"/>
        </w:rPr>
        <w:t>the insurance provider, insurance carrier, or underwriter. The party purchasing the coverage is the policyholder</w:t>
      </w:r>
      <w:r w:rsidR="00AA0B27">
        <w:rPr>
          <w:rFonts w:eastAsia="+mn-ea"/>
          <w:kern w:val="24"/>
          <w:szCs w:val="24"/>
          <w:lang w:eastAsia="en-CA"/>
        </w:rPr>
        <w:t>,</w:t>
      </w:r>
      <w:r w:rsidRPr="00816DDD">
        <w:rPr>
          <w:rFonts w:eastAsia="+mn-ea"/>
          <w:kern w:val="24"/>
          <w:szCs w:val="24"/>
          <w:lang w:eastAsia="en-CA"/>
        </w:rPr>
        <w:t xml:space="preserve"> while the one receiving the benefit</w:t>
      </w:r>
      <w:r w:rsidR="00570A3D" w:rsidRPr="00816DDD">
        <w:rPr>
          <w:rFonts w:eastAsia="+mn-ea"/>
          <w:kern w:val="24"/>
          <w:szCs w:val="24"/>
          <w:lang w:eastAsia="en-CA"/>
        </w:rPr>
        <w:t>s</w:t>
      </w:r>
      <w:r w:rsidRPr="00816DDD">
        <w:rPr>
          <w:rFonts w:eastAsia="+mn-ea"/>
          <w:kern w:val="24"/>
          <w:szCs w:val="24"/>
          <w:lang w:eastAsia="en-CA"/>
        </w:rPr>
        <w:t xml:space="preserve"> is the </w:t>
      </w:r>
      <w:proofErr w:type="gramStart"/>
      <w:r w:rsidRPr="00816DDD">
        <w:rPr>
          <w:rFonts w:eastAsia="+mn-ea"/>
          <w:kern w:val="24"/>
          <w:szCs w:val="24"/>
          <w:lang w:eastAsia="en-CA"/>
        </w:rPr>
        <w:t>insured</w:t>
      </w:r>
      <w:proofErr w:type="gramEnd"/>
      <w:r w:rsidRPr="00816DDD">
        <w:rPr>
          <w:rFonts w:eastAsia="+mn-ea"/>
          <w:kern w:val="24"/>
          <w:szCs w:val="24"/>
          <w:lang w:eastAsia="en-CA"/>
        </w:rPr>
        <w:t xml:space="preserve">.  The policyholder and insured are </w:t>
      </w:r>
      <w:r w:rsidR="007315DF" w:rsidRPr="00816DDD">
        <w:rPr>
          <w:rFonts w:eastAsia="+mn-ea"/>
          <w:kern w:val="24"/>
          <w:szCs w:val="24"/>
          <w:lang w:eastAsia="en-CA"/>
        </w:rPr>
        <w:t>usually</w:t>
      </w:r>
      <w:r w:rsidRPr="00816DDD">
        <w:rPr>
          <w:rFonts w:eastAsia="+mn-ea"/>
          <w:kern w:val="24"/>
          <w:szCs w:val="24"/>
          <w:lang w:eastAsia="en-CA"/>
        </w:rPr>
        <w:t xml:space="preserve"> the same, but the policy </w:t>
      </w:r>
      <w:r w:rsidR="0033153B" w:rsidRPr="00816DDD">
        <w:rPr>
          <w:rFonts w:eastAsia="+mn-ea"/>
          <w:kern w:val="24"/>
          <w:szCs w:val="24"/>
          <w:lang w:eastAsia="en-CA"/>
        </w:rPr>
        <w:t>can</w:t>
      </w:r>
      <w:r w:rsidRPr="00816DDD">
        <w:rPr>
          <w:rFonts w:eastAsia="+mn-ea"/>
          <w:kern w:val="24"/>
          <w:szCs w:val="24"/>
          <w:lang w:eastAsia="en-CA"/>
        </w:rPr>
        <w:t xml:space="preserve"> </w:t>
      </w:r>
      <w:r w:rsidR="0033153B" w:rsidRPr="00816DDD">
        <w:rPr>
          <w:rFonts w:eastAsia="+mn-ea"/>
          <w:kern w:val="24"/>
          <w:szCs w:val="24"/>
          <w:lang w:eastAsia="en-CA"/>
        </w:rPr>
        <w:t>name a different beneficiary</w:t>
      </w:r>
      <w:r w:rsidR="00AA0B27">
        <w:rPr>
          <w:rFonts w:eastAsia="+mn-ea"/>
          <w:kern w:val="24"/>
          <w:szCs w:val="24"/>
          <w:lang w:eastAsia="en-CA"/>
        </w:rPr>
        <w:t>,</w:t>
      </w:r>
      <w:r w:rsidR="0033153B" w:rsidRPr="00816DDD">
        <w:rPr>
          <w:rFonts w:eastAsia="+mn-ea"/>
          <w:kern w:val="24"/>
          <w:szCs w:val="24"/>
          <w:lang w:eastAsia="en-CA"/>
        </w:rPr>
        <w:t xml:space="preserve"> </w:t>
      </w:r>
      <w:r w:rsidRPr="00816DDD">
        <w:rPr>
          <w:rFonts w:eastAsia="+mn-ea"/>
          <w:kern w:val="24"/>
          <w:szCs w:val="24"/>
          <w:lang w:eastAsia="en-CA"/>
        </w:rPr>
        <w:t>such as a commercial lender</w:t>
      </w:r>
      <w:r w:rsidR="00DA4343" w:rsidRPr="00816DDD">
        <w:rPr>
          <w:rFonts w:eastAsia="+mn-ea"/>
          <w:kern w:val="24"/>
          <w:szCs w:val="24"/>
          <w:lang w:eastAsia="en-CA"/>
        </w:rPr>
        <w:t xml:space="preserve"> or spouse</w:t>
      </w:r>
      <w:r w:rsidRPr="00816DDD">
        <w:rPr>
          <w:rFonts w:eastAsia="+mn-ea"/>
          <w:kern w:val="24"/>
          <w:szCs w:val="24"/>
          <w:lang w:eastAsia="en-CA"/>
        </w:rPr>
        <w:t>.</w:t>
      </w:r>
      <w:r w:rsidR="0033153B" w:rsidRPr="00816DDD">
        <w:rPr>
          <w:rFonts w:eastAsia="+mn-ea"/>
          <w:kern w:val="24"/>
          <w:szCs w:val="24"/>
          <w:lang w:eastAsia="en-CA"/>
        </w:rPr>
        <w:t xml:space="preserve"> </w:t>
      </w:r>
      <w:r w:rsidRPr="00816DDD">
        <w:rPr>
          <w:rFonts w:eastAsia="+mn-ea"/>
          <w:kern w:val="24"/>
          <w:szCs w:val="24"/>
          <w:lang w:eastAsia="en-CA"/>
        </w:rPr>
        <w:t xml:space="preserve">The policyholder pays the insurance provider a premium for </w:t>
      </w:r>
      <w:r w:rsidR="00570A3D" w:rsidRPr="00816DDD">
        <w:rPr>
          <w:rFonts w:eastAsia="+mn-ea"/>
          <w:kern w:val="24"/>
          <w:szCs w:val="24"/>
          <w:lang w:eastAsia="en-CA"/>
        </w:rPr>
        <w:t>a specified coverage limit</w:t>
      </w:r>
      <w:r w:rsidRPr="00816DDD">
        <w:rPr>
          <w:rFonts w:eastAsia="+mn-ea"/>
          <w:kern w:val="24"/>
          <w:szCs w:val="24"/>
          <w:lang w:eastAsia="en-CA"/>
        </w:rPr>
        <w:t xml:space="preserve"> against a </w:t>
      </w:r>
      <w:r w:rsidR="00253F57">
        <w:rPr>
          <w:rFonts w:eastAsia="+mn-ea"/>
          <w:kern w:val="24"/>
          <w:szCs w:val="24"/>
          <w:lang w:eastAsia="en-CA"/>
        </w:rPr>
        <w:t>specific</w:t>
      </w:r>
      <w:r w:rsidRPr="00816DDD">
        <w:rPr>
          <w:rFonts w:eastAsia="+mn-ea"/>
          <w:kern w:val="24"/>
          <w:szCs w:val="24"/>
          <w:lang w:eastAsia="en-CA"/>
        </w:rPr>
        <w:t xml:space="preserve"> type of loss.</w:t>
      </w:r>
      <w:r w:rsidR="0033153B" w:rsidRPr="00816DDD">
        <w:rPr>
          <w:rFonts w:eastAsia="+mn-ea"/>
          <w:kern w:val="24"/>
          <w:szCs w:val="24"/>
          <w:lang w:eastAsia="en-CA"/>
        </w:rPr>
        <w:t xml:space="preserve"> </w:t>
      </w:r>
      <w:r w:rsidRPr="00816DDD">
        <w:rPr>
          <w:rFonts w:eastAsia="+mn-ea"/>
          <w:kern w:val="24"/>
          <w:szCs w:val="24"/>
          <w:lang w:eastAsia="en-CA"/>
        </w:rPr>
        <w:t>The policy may have a deductible</w:t>
      </w:r>
      <w:r w:rsidR="00AA0B27">
        <w:rPr>
          <w:rFonts w:eastAsia="+mn-ea"/>
          <w:kern w:val="24"/>
          <w:szCs w:val="24"/>
          <w:lang w:eastAsia="en-CA"/>
        </w:rPr>
        <w:t>,</w:t>
      </w:r>
      <w:r w:rsidR="007315DF" w:rsidRPr="00816DDD">
        <w:rPr>
          <w:rFonts w:eastAsia="+mn-ea"/>
          <w:kern w:val="24"/>
          <w:szCs w:val="24"/>
          <w:lang w:eastAsia="en-CA"/>
        </w:rPr>
        <w:t xml:space="preserve"> which</w:t>
      </w:r>
      <w:r w:rsidRPr="00816DDD">
        <w:rPr>
          <w:rFonts w:eastAsia="+mn-ea"/>
          <w:kern w:val="24"/>
          <w:szCs w:val="24"/>
          <w:lang w:eastAsia="en-CA"/>
        </w:rPr>
        <w:t xml:space="preserve"> </w:t>
      </w:r>
      <w:r w:rsidR="00D5418A">
        <w:rPr>
          <w:rFonts w:eastAsia="+mn-ea"/>
          <w:kern w:val="24"/>
          <w:szCs w:val="24"/>
          <w:lang w:eastAsia="en-CA"/>
        </w:rPr>
        <w:t>is</w:t>
      </w:r>
      <w:r w:rsidR="007315DF" w:rsidRPr="00816DDD">
        <w:rPr>
          <w:rFonts w:eastAsia="+mn-ea"/>
          <w:kern w:val="24"/>
          <w:szCs w:val="24"/>
          <w:lang w:eastAsia="en-CA"/>
        </w:rPr>
        <w:t xml:space="preserve"> the </w:t>
      </w:r>
      <w:r w:rsidR="00D5418A">
        <w:rPr>
          <w:rFonts w:eastAsia="+mn-ea"/>
          <w:kern w:val="24"/>
          <w:szCs w:val="24"/>
          <w:lang w:eastAsia="en-CA"/>
        </w:rPr>
        <w:t xml:space="preserve">amount of </w:t>
      </w:r>
      <w:r w:rsidR="00543380" w:rsidRPr="00816DDD">
        <w:rPr>
          <w:rFonts w:eastAsia="+mn-ea"/>
          <w:kern w:val="24"/>
          <w:szCs w:val="24"/>
          <w:lang w:eastAsia="en-CA"/>
        </w:rPr>
        <w:t>damage</w:t>
      </w:r>
      <w:r w:rsidRPr="00816DDD">
        <w:rPr>
          <w:rFonts w:eastAsia="+mn-ea"/>
          <w:kern w:val="24"/>
          <w:szCs w:val="24"/>
          <w:lang w:eastAsia="en-CA"/>
        </w:rPr>
        <w:t xml:space="preserve"> </w:t>
      </w:r>
      <w:r w:rsidR="007315DF" w:rsidRPr="00816DDD">
        <w:rPr>
          <w:rFonts w:eastAsia="+mn-ea"/>
          <w:kern w:val="24"/>
          <w:szCs w:val="24"/>
          <w:lang w:eastAsia="en-CA"/>
        </w:rPr>
        <w:t>a</w:t>
      </w:r>
      <w:r w:rsidRPr="00816DDD">
        <w:rPr>
          <w:rFonts w:eastAsia="+mn-ea"/>
          <w:kern w:val="24"/>
          <w:szCs w:val="24"/>
          <w:lang w:eastAsia="en-CA"/>
        </w:rPr>
        <w:t xml:space="preserve"> company must pay </w:t>
      </w:r>
      <w:r w:rsidR="0033153B" w:rsidRPr="00816DDD">
        <w:rPr>
          <w:rFonts w:eastAsia="+mn-ea"/>
          <w:kern w:val="24"/>
          <w:szCs w:val="24"/>
          <w:lang w:eastAsia="en-CA"/>
        </w:rPr>
        <w:t xml:space="preserve">itself </w:t>
      </w:r>
      <w:r w:rsidRPr="00816DDD">
        <w:rPr>
          <w:rFonts w:eastAsia="+mn-ea"/>
          <w:kern w:val="24"/>
          <w:szCs w:val="24"/>
          <w:lang w:eastAsia="en-CA"/>
        </w:rPr>
        <w:t xml:space="preserve">before an insurance provider </w:t>
      </w:r>
      <w:r w:rsidR="00BF7E81" w:rsidRPr="00816DDD">
        <w:rPr>
          <w:rFonts w:eastAsia="+mn-ea"/>
          <w:kern w:val="24"/>
          <w:szCs w:val="24"/>
          <w:lang w:eastAsia="en-CA"/>
        </w:rPr>
        <w:t xml:space="preserve">reimburses </w:t>
      </w:r>
      <w:r w:rsidRPr="00816DDD">
        <w:rPr>
          <w:rFonts w:eastAsia="+mn-ea"/>
          <w:kern w:val="24"/>
          <w:szCs w:val="24"/>
          <w:lang w:eastAsia="en-CA"/>
        </w:rPr>
        <w:t>a</w:t>
      </w:r>
      <w:r w:rsidR="00570A3D" w:rsidRPr="00816DDD">
        <w:rPr>
          <w:rFonts w:eastAsia="+mn-ea"/>
          <w:kern w:val="24"/>
          <w:szCs w:val="24"/>
          <w:lang w:eastAsia="en-CA"/>
        </w:rPr>
        <w:t xml:space="preserve"> claim</w:t>
      </w:r>
      <w:r w:rsidRPr="00816DDD">
        <w:rPr>
          <w:rFonts w:eastAsia="+mn-ea"/>
          <w:kern w:val="24"/>
          <w:szCs w:val="24"/>
          <w:lang w:eastAsia="en-CA"/>
        </w:rPr>
        <w:t xml:space="preserve">.  </w:t>
      </w:r>
      <w:r w:rsidR="00DA4343" w:rsidRPr="00816DDD">
        <w:rPr>
          <w:rFonts w:eastAsia="+mn-ea"/>
          <w:kern w:val="24"/>
          <w:szCs w:val="24"/>
          <w:lang w:eastAsia="en-CA"/>
        </w:rPr>
        <w:t>A deductible</w:t>
      </w:r>
      <w:r w:rsidR="007315DF" w:rsidRPr="00816DDD">
        <w:rPr>
          <w:rFonts w:eastAsia="+mn-ea"/>
          <w:kern w:val="24"/>
          <w:szCs w:val="24"/>
          <w:lang w:eastAsia="en-CA"/>
        </w:rPr>
        <w:t xml:space="preserve"> reduces premiums and </w:t>
      </w:r>
      <w:r w:rsidR="00DA4343" w:rsidRPr="00816DDD">
        <w:rPr>
          <w:rFonts w:eastAsia="+mn-ea"/>
          <w:kern w:val="24"/>
          <w:szCs w:val="24"/>
          <w:lang w:eastAsia="en-CA"/>
        </w:rPr>
        <w:t>helps insurance compan</w:t>
      </w:r>
      <w:r w:rsidR="007315DF" w:rsidRPr="00816DDD">
        <w:rPr>
          <w:rFonts w:eastAsia="+mn-ea"/>
          <w:kern w:val="24"/>
          <w:szCs w:val="24"/>
          <w:lang w:eastAsia="en-CA"/>
        </w:rPr>
        <w:t>ies</w:t>
      </w:r>
      <w:r w:rsidR="00DA4343" w:rsidRPr="00816DDD">
        <w:rPr>
          <w:rFonts w:eastAsia="+mn-ea"/>
          <w:kern w:val="24"/>
          <w:szCs w:val="24"/>
          <w:lang w:eastAsia="en-CA"/>
        </w:rPr>
        <w:t xml:space="preserve"> deal efficiently with small claims</w:t>
      </w:r>
      <w:r w:rsidR="007315DF" w:rsidRPr="00816DDD">
        <w:rPr>
          <w:rFonts w:eastAsia="+mn-ea"/>
          <w:kern w:val="24"/>
          <w:szCs w:val="24"/>
          <w:lang w:eastAsia="en-CA"/>
        </w:rPr>
        <w:t>.</w:t>
      </w:r>
      <w:r w:rsidR="00DA4343" w:rsidRPr="00816DDD">
        <w:rPr>
          <w:rFonts w:eastAsia="+mn-ea"/>
          <w:kern w:val="24"/>
          <w:szCs w:val="24"/>
          <w:lang w:eastAsia="en-CA"/>
        </w:rPr>
        <w:t xml:space="preserve"> </w:t>
      </w:r>
      <w:r w:rsidR="007315DF" w:rsidRPr="00816DDD">
        <w:rPr>
          <w:rFonts w:eastAsia="+mn-ea"/>
          <w:kern w:val="24"/>
          <w:szCs w:val="24"/>
          <w:lang w:eastAsia="en-CA"/>
        </w:rPr>
        <w:t>It also make</w:t>
      </w:r>
      <w:r w:rsidR="0033153B" w:rsidRPr="00816DDD">
        <w:rPr>
          <w:rFonts w:eastAsia="+mn-ea"/>
          <w:kern w:val="24"/>
          <w:szCs w:val="24"/>
          <w:lang w:eastAsia="en-CA"/>
        </w:rPr>
        <w:t>s</w:t>
      </w:r>
      <w:r w:rsidR="007315DF" w:rsidRPr="00816DDD">
        <w:rPr>
          <w:rFonts w:eastAsia="+mn-ea"/>
          <w:kern w:val="24"/>
          <w:szCs w:val="24"/>
          <w:lang w:eastAsia="en-CA"/>
        </w:rPr>
        <w:t xml:space="preserve"> </w:t>
      </w:r>
      <w:r w:rsidR="00DA4343" w:rsidRPr="00816DDD">
        <w:rPr>
          <w:rFonts w:eastAsia="+mn-ea"/>
          <w:kern w:val="24"/>
          <w:szCs w:val="24"/>
          <w:lang w:eastAsia="en-CA"/>
        </w:rPr>
        <w:t>the policyholder</w:t>
      </w:r>
      <w:r w:rsidR="00570A3D" w:rsidRPr="00816DDD">
        <w:rPr>
          <w:rFonts w:eastAsia="+mn-ea"/>
          <w:kern w:val="24"/>
          <w:szCs w:val="24"/>
          <w:lang w:eastAsia="en-CA"/>
        </w:rPr>
        <w:t xml:space="preserve"> better</w:t>
      </w:r>
      <w:r w:rsidR="00DA4343" w:rsidRPr="00816DDD">
        <w:rPr>
          <w:rFonts w:eastAsia="+mn-ea"/>
          <w:kern w:val="24"/>
          <w:szCs w:val="24"/>
          <w:lang w:eastAsia="en-CA"/>
        </w:rPr>
        <w:t xml:space="preserve"> appreciate the high cost of </w:t>
      </w:r>
      <w:r w:rsidR="007315DF" w:rsidRPr="00816DDD">
        <w:rPr>
          <w:rFonts w:eastAsia="+mn-ea"/>
          <w:kern w:val="24"/>
          <w:szCs w:val="24"/>
          <w:lang w:eastAsia="en-CA"/>
        </w:rPr>
        <w:t xml:space="preserve">insurance </w:t>
      </w:r>
      <w:r w:rsidR="00DA4343" w:rsidRPr="00816DDD">
        <w:rPr>
          <w:rFonts w:eastAsia="+mn-ea"/>
          <w:kern w:val="24"/>
          <w:szCs w:val="24"/>
          <w:lang w:eastAsia="en-CA"/>
        </w:rPr>
        <w:t>coverage</w:t>
      </w:r>
      <w:r w:rsidR="007315DF" w:rsidRPr="00816DDD">
        <w:rPr>
          <w:rFonts w:eastAsia="+mn-ea"/>
          <w:kern w:val="24"/>
          <w:szCs w:val="24"/>
          <w:lang w:eastAsia="en-CA"/>
        </w:rPr>
        <w:t xml:space="preserve"> and encourage</w:t>
      </w:r>
      <w:r w:rsidR="0033153B" w:rsidRPr="00816DDD">
        <w:rPr>
          <w:rFonts w:eastAsia="+mn-ea"/>
          <w:kern w:val="24"/>
          <w:szCs w:val="24"/>
          <w:lang w:eastAsia="en-CA"/>
        </w:rPr>
        <w:t>s</w:t>
      </w:r>
      <w:r w:rsidR="007315DF" w:rsidRPr="00816DDD">
        <w:rPr>
          <w:rFonts w:eastAsia="+mn-ea"/>
          <w:kern w:val="24"/>
          <w:szCs w:val="24"/>
          <w:lang w:eastAsia="en-CA"/>
        </w:rPr>
        <w:t xml:space="preserve"> them to take steps to </w:t>
      </w:r>
      <w:r w:rsidR="00DA4343" w:rsidRPr="00816DDD">
        <w:rPr>
          <w:rFonts w:eastAsia="+mn-ea"/>
          <w:kern w:val="24"/>
          <w:szCs w:val="24"/>
          <w:lang w:eastAsia="en-CA"/>
        </w:rPr>
        <w:t xml:space="preserve">mitigate </w:t>
      </w:r>
      <w:r w:rsidR="0033153B" w:rsidRPr="00816DDD">
        <w:rPr>
          <w:rFonts w:eastAsia="+mn-ea"/>
          <w:kern w:val="24"/>
          <w:szCs w:val="24"/>
          <w:lang w:eastAsia="en-CA"/>
        </w:rPr>
        <w:t>losses</w:t>
      </w:r>
      <w:r w:rsidR="00AA0B27">
        <w:rPr>
          <w:rFonts w:eastAsia="+mn-ea"/>
          <w:kern w:val="24"/>
          <w:szCs w:val="24"/>
          <w:lang w:eastAsia="en-CA"/>
        </w:rPr>
        <w:t>,</w:t>
      </w:r>
      <w:r w:rsidR="00DA4343" w:rsidRPr="00816DDD">
        <w:rPr>
          <w:rFonts w:eastAsia="+mn-ea"/>
          <w:kern w:val="24"/>
          <w:szCs w:val="24"/>
          <w:lang w:eastAsia="en-CA"/>
        </w:rPr>
        <w:t xml:space="preserve"> </w:t>
      </w:r>
      <w:r w:rsidR="0033153B" w:rsidRPr="00816DDD">
        <w:rPr>
          <w:rFonts w:eastAsia="+mn-ea"/>
          <w:kern w:val="24"/>
          <w:szCs w:val="24"/>
          <w:lang w:eastAsia="en-CA"/>
        </w:rPr>
        <w:t>such as installing security cameras</w:t>
      </w:r>
      <w:r w:rsidR="00570A3D" w:rsidRPr="00816DDD">
        <w:rPr>
          <w:rFonts w:eastAsia="+mn-ea"/>
          <w:kern w:val="24"/>
          <w:szCs w:val="24"/>
          <w:lang w:eastAsia="en-CA"/>
        </w:rPr>
        <w:t xml:space="preserve"> or sprinkler systems</w:t>
      </w:r>
      <w:r w:rsidR="00DA4343" w:rsidRPr="00816DDD">
        <w:rPr>
          <w:rFonts w:eastAsia="+mn-ea"/>
          <w:kern w:val="24"/>
          <w:szCs w:val="24"/>
          <w:lang w:eastAsia="en-CA"/>
        </w:rPr>
        <w:t xml:space="preserve">.  </w:t>
      </w:r>
      <w:r w:rsidR="007315DF" w:rsidRPr="00816DDD">
        <w:rPr>
          <w:rFonts w:eastAsia="+mn-ea"/>
          <w:kern w:val="24"/>
          <w:szCs w:val="24"/>
          <w:lang w:eastAsia="en-CA"/>
        </w:rPr>
        <w:t xml:space="preserve">Excessive </w:t>
      </w:r>
      <w:r w:rsidR="00DA4343" w:rsidRPr="00816DDD">
        <w:rPr>
          <w:rFonts w:eastAsia="+mn-ea"/>
          <w:kern w:val="24"/>
          <w:szCs w:val="24"/>
          <w:lang w:eastAsia="en-CA"/>
        </w:rPr>
        <w:t>p</w:t>
      </w:r>
      <w:r w:rsidR="00DA4343" w:rsidRPr="00816DDD">
        <w:rPr>
          <w:rFonts w:eastAsia="+mn-ea" w:hint="cs"/>
          <w:kern w:val="24"/>
          <w:szCs w:val="24"/>
          <w:lang w:eastAsia="en-CA"/>
        </w:rPr>
        <w:t xml:space="preserve">remiums can be reduced by </w:t>
      </w:r>
      <w:r w:rsidR="00DA4343" w:rsidRPr="00816DDD">
        <w:rPr>
          <w:rFonts w:eastAsia="+mn-ea"/>
          <w:kern w:val="24"/>
          <w:szCs w:val="24"/>
          <w:lang w:eastAsia="en-CA"/>
        </w:rPr>
        <w:t xml:space="preserve">negotiating a </w:t>
      </w:r>
      <w:r w:rsidR="007315DF" w:rsidRPr="00816DDD">
        <w:rPr>
          <w:rFonts w:eastAsia="+mn-ea"/>
          <w:kern w:val="24"/>
          <w:szCs w:val="24"/>
          <w:lang w:eastAsia="en-CA"/>
        </w:rPr>
        <w:t>high</w:t>
      </w:r>
      <w:r w:rsidR="00DA4343" w:rsidRPr="00816DDD">
        <w:rPr>
          <w:rFonts w:eastAsia="+mn-ea" w:hint="cs"/>
          <w:kern w:val="24"/>
          <w:szCs w:val="24"/>
          <w:lang w:eastAsia="en-CA"/>
        </w:rPr>
        <w:t xml:space="preserve"> </w:t>
      </w:r>
      <w:r w:rsidR="00DA4343" w:rsidRPr="00816DDD">
        <w:rPr>
          <w:rFonts w:eastAsia="+mn-ea"/>
          <w:kern w:val="24"/>
          <w:szCs w:val="24"/>
          <w:lang w:eastAsia="en-CA"/>
        </w:rPr>
        <w:t xml:space="preserve">deductible, but this policy </w:t>
      </w:r>
      <w:r w:rsidR="00BF7E81" w:rsidRPr="00816DDD">
        <w:rPr>
          <w:rFonts w:eastAsia="+mn-ea"/>
          <w:kern w:val="24"/>
          <w:szCs w:val="24"/>
          <w:lang w:eastAsia="en-CA"/>
        </w:rPr>
        <w:t xml:space="preserve">will </w:t>
      </w:r>
      <w:r w:rsidR="00DA4343" w:rsidRPr="00816DDD">
        <w:rPr>
          <w:rFonts w:eastAsia="+mn-ea" w:hint="cs"/>
          <w:kern w:val="24"/>
          <w:szCs w:val="24"/>
          <w:lang w:eastAsia="en-CA"/>
        </w:rPr>
        <w:t xml:space="preserve">only protect </w:t>
      </w:r>
      <w:r w:rsidR="00570A3D" w:rsidRPr="00816DDD">
        <w:rPr>
          <w:rFonts w:eastAsia="+mn-ea"/>
          <w:kern w:val="24"/>
          <w:szCs w:val="24"/>
          <w:lang w:eastAsia="en-CA"/>
        </w:rPr>
        <w:t>a</w:t>
      </w:r>
      <w:r w:rsidR="00DA4343" w:rsidRPr="00816DDD">
        <w:rPr>
          <w:rFonts w:eastAsia="+mn-ea" w:hint="cs"/>
          <w:kern w:val="24"/>
          <w:szCs w:val="24"/>
          <w:lang w:eastAsia="en-CA"/>
        </w:rPr>
        <w:t xml:space="preserve"> company from</w:t>
      </w:r>
      <w:r w:rsidR="00570A3D" w:rsidRPr="00816DDD">
        <w:rPr>
          <w:rFonts w:eastAsia="+mn-ea"/>
          <w:kern w:val="24"/>
          <w:szCs w:val="24"/>
          <w:lang w:eastAsia="en-CA"/>
        </w:rPr>
        <w:t xml:space="preserve"> </w:t>
      </w:r>
      <w:r w:rsidR="00DA4343" w:rsidRPr="00816DDD">
        <w:rPr>
          <w:rFonts w:eastAsia="+mn-ea" w:hint="cs"/>
          <w:kern w:val="24"/>
          <w:szCs w:val="24"/>
          <w:lang w:eastAsia="en-CA"/>
        </w:rPr>
        <w:t>large losse</w:t>
      </w:r>
      <w:r w:rsidR="00DA4343" w:rsidRPr="00816DDD">
        <w:rPr>
          <w:rFonts w:eastAsia="+mn-ea"/>
          <w:kern w:val="24"/>
          <w:szCs w:val="24"/>
          <w:lang w:eastAsia="en-CA"/>
        </w:rPr>
        <w:t>s.</w:t>
      </w:r>
      <w:r w:rsidR="0048711E" w:rsidRPr="00816DDD">
        <w:rPr>
          <w:rFonts w:eastAsia="+mn-ea"/>
          <w:kern w:val="24"/>
          <w:szCs w:val="24"/>
          <w:lang w:eastAsia="en-CA"/>
        </w:rPr>
        <w:t xml:space="preserve">  </w:t>
      </w:r>
    </w:p>
    <w:p w14:paraId="6A5B1CD8" w14:textId="77777777" w:rsidR="0033153B" w:rsidRPr="00816DDD" w:rsidRDefault="0033153B" w:rsidP="0033153B">
      <w:pPr>
        <w:spacing w:after="0" w:line="240" w:lineRule="auto"/>
        <w:ind w:right="-126"/>
        <w:rPr>
          <w:rFonts w:eastAsia="+mn-ea"/>
          <w:kern w:val="24"/>
          <w:szCs w:val="24"/>
          <w:lang w:eastAsia="en-CA"/>
        </w:rPr>
      </w:pPr>
    </w:p>
    <w:p w14:paraId="5E048E97" w14:textId="6BECA25A" w:rsidR="0033153B" w:rsidRPr="00816DDD" w:rsidRDefault="0033153B" w:rsidP="0033153B">
      <w:pPr>
        <w:spacing w:after="0" w:line="240" w:lineRule="auto"/>
        <w:ind w:right="-126"/>
        <w:rPr>
          <w:rFonts w:eastAsia="+mn-ea"/>
          <w:kern w:val="24"/>
          <w:szCs w:val="24"/>
          <w:lang w:eastAsia="en-CA"/>
        </w:rPr>
      </w:pPr>
      <w:r w:rsidRPr="00816DDD">
        <w:rPr>
          <w:rFonts w:eastAsia="+mn-ea"/>
          <w:kern w:val="24"/>
          <w:szCs w:val="24"/>
          <w:lang w:eastAsia="en-CA"/>
        </w:rPr>
        <w:t xml:space="preserve">To </w:t>
      </w:r>
      <w:r w:rsidR="00142B1B">
        <w:rPr>
          <w:rFonts w:eastAsia="+mn-ea"/>
          <w:kern w:val="24"/>
          <w:szCs w:val="24"/>
          <w:lang w:eastAsia="en-CA"/>
        </w:rPr>
        <w:t>qualify</w:t>
      </w:r>
      <w:r w:rsidRPr="00816DDD">
        <w:rPr>
          <w:rFonts w:eastAsia="+mn-ea"/>
          <w:kern w:val="24"/>
          <w:szCs w:val="24"/>
          <w:lang w:eastAsia="en-CA"/>
        </w:rPr>
        <w:t xml:space="preserve"> for insurance coverage, the insured party must have an insurable interest in an item, event, or action</w:t>
      </w:r>
      <w:r w:rsidR="00AA0B27">
        <w:rPr>
          <w:rFonts w:eastAsia="+mn-ea"/>
          <w:kern w:val="24"/>
          <w:szCs w:val="24"/>
          <w:lang w:eastAsia="en-CA"/>
        </w:rPr>
        <w:t>,</w:t>
      </w:r>
      <w:r w:rsidRPr="00816DDD">
        <w:rPr>
          <w:rFonts w:eastAsia="+mn-ea"/>
          <w:kern w:val="24"/>
          <w:szCs w:val="24"/>
          <w:lang w:eastAsia="en-CA"/>
        </w:rPr>
        <w:t xml:space="preserve"> which means they would directly suffer from any loss.  The insurance provider is required to indemnify the insured party for the lesser of their insur</w:t>
      </w:r>
      <w:r w:rsidR="009A342E" w:rsidRPr="00816DDD">
        <w:rPr>
          <w:rFonts w:eastAsia="+mn-ea"/>
          <w:kern w:val="24"/>
          <w:szCs w:val="24"/>
          <w:lang w:eastAsia="en-CA"/>
        </w:rPr>
        <w:t>able</w:t>
      </w:r>
      <w:r w:rsidRPr="00816DDD">
        <w:rPr>
          <w:rFonts w:eastAsia="+mn-ea"/>
          <w:kern w:val="24"/>
          <w:szCs w:val="24"/>
          <w:lang w:eastAsia="en-CA"/>
        </w:rPr>
        <w:t xml:space="preserve"> interest or the coverage limits in the policy.  Both </w:t>
      </w:r>
      <w:r w:rsidR="009A342E" w:rsidRPr="00816DDD">
        <w:rPr>
          <w:rFonts w:eastAsia="+mn-ea"/>
          <w:kern w:val="24"/>
          <w:szCs w:val="24"/>
          <w:lang w:eastAsia="en-CA"/>
        </w:rPr>
        <w:t xml:space="preserve">the </w:t>
      </w:r>
      <w:r w:rsidRPr="00816DDD">
        <w:rPr>
          <w:rFonts w:eastAsia="+mn-ea"/>
          <w:kern w:val="24"/>
          <w:szCs w:val="24"/>
          <w:lang w:eastAsia="en-CA"/>
        </w:rPr>
        <w:t>policyholder</w:t>
      </w:r>
      <w:r w:rsidR="00570A3D" w:rsidRPr="00816DDD">
        <w:rPr>
          <w:rFonts w:eastAsia="+mn-ea"/>
          <w:kern w:val="24"/>
          <w:szCs w:val="24"/>
          <w:lang w:eastAsia="en-CA"/>
        </w:rPr>
        <w:t xml:space="preserve"> and provider</w:t>
      </w:r>
      <w:r w:rsidRPr="00816DDD">
        <w:rPr>
          <w:rFonts w:eastAsia="+mn-ea"/>
          <w:kern w:val="24"/>
          <w:szCs w:val="24"/>
          <w:lang w:eastAsia="en-CA"/>
        </w:rPr>
        <w:t xml:space="preserve"> are required to act in good faith</w:t>
      </w:r>
      <w:r w:rsidR="00AA0B27">
        <w:rPr>
          <w:rFonts w:eastAsia="+mn-ea"/>
          <w:kern w:val="24"/>
          <w:szCs w:val="24"/>
          <w:lang w:eastAsia="en-CA"/>
        </w:rPr>
        <w:t>,</w:t>
      </w:r>
      <w:r w:rsidRPr="00816DDD">
        <w:rPr>
          <w:rFonts w:eastAsia="+mn-ea"/>
          <w:kern w:val="24"/>
          <w:szCs w:val="24"/>
          <w:lang w:eastAsia="en-CA"/>
        </w:rPr>
        <w:t xml:space="preserve"> providing all material information. </w:t>
      </w:r>
      <w:r w:rsidR="00570A3D" w:rsidRPr="00816DDD">
        <w:rPr>
          <w:rFonts w:eastAsia="+mn-ea"/>
          <w:kern w:val="24"/>
          <w:szCs w:val="24"/>
          <w:lang w:eastAsia="en-CA"/>
        </w:rPr>
        <w:t xml:space="preserve"> </w:t>
      </w:r>
      <w:r w:rsidRPr="00816DDD">
        <w:rPr>
          <w:rFonts w:eastAsia="+mn-ea"/>
          <w:kern w:val="24"/>
          <w:szCs w:val="24"/>
          <w:lang w:eastAsia="en-CA"/>
        </w:rPr>
        <w:t>Once a loss occurs, the policyholder</w:t>
      </w:r>
      <w:r w:rsidR="00570A3D" w:rsidRPr="00816DDD">
        <w:rPr>
          <w:rFonts w:eastAsia="+mn-ea"/>
          <w:kern w:val="24"/>
          <w:szCs w:val="24"/>
          <w:lang w:eastAsia="en-CA"/>
        </w:rPr>
        <w:t xml:space="preserve"> is obligated to </w:t>
      </w:r>
      <w:r w:rsidRPr="00816DDD">
        <w:rPr>
          <w:rFonts w:eastAsia="+mn-ea"/>
          <w:kern w:val="24"/>
          <w:szCs w:val="24"/>
          <w:lang w:eastAsia="en-CA"/>
        </w:rPr>
        <w:t>mitigate</w:t>
      </w:r>
      <w:r w:rsidR="00570A3D" w:rsidRPr="00816DDD">
        <w:rPr>
          <w:rFonts w:eastAsia="+mn-ea"/>
          <w:kern w:val="24"/>
          <w:szCs w:val="24"/>
          <w:lang w:eastAsia="en-CA"/>
        </w:rPr>
        <w:t xml:space="preserve"> any</w:t>
      </w:r>
      <w:r w:rsidRPr="00816DDD">
        <w:rPr>
          <w:rFonts w:eastAsia="+mn-ea"/>
          <w:kern w:val="24"/>
          <w:szCs w:val="24"/>
          <w:lang w:eastAsia="en-CA"/>
        </w:rPr>
        <w:t xml:space="preserve"> damages</w:t>
      </w:r>
      <w:r w:rsidR="009A342E" w:rsidRPr="00816DDD">
        <w:rPr>
          <w:rFonts w:eastAsia="+mn-ea"/>
          <w:kern w:val="24"/>
          <w:szCs w:val="24"/>
          <w:lang w:eastAsia="en-CA"/>
        </w:rPr>
        <w:t xml:space="preserve"> by taking reasonable actions to reduce the loss</w:t>
      </w:r>
      <w:r w:rsidR="00AA0B27">
        <w:rPr>
          <w:rFonts w:eastAsia="+mn-ea"/>
          <w:kern w:val="24"/>
          <w:szCs w:val="24"/>
          <w:lang w:eastAsia="en-CA"/>
        </w:rPr>
        <w:t>,</w:t>
      </w:r>
      <w:r w:rsidR="009A342E" w:rsidRPr="00816DDD">
        <w:rPr>
          <w:rFonts w:eastAsia="+mn-ea"/>
          <w:kern w:val="24"/>
          <w:szCs w:val="24"/>
          <w:lang w:eastAsia="en-CA"/>
        </w:rPr>
        <w:t xml:space="preserve"> such as a landlord finding a new tenant when </w:t>
      </w:r>
      <w:r w:rsidR="00142B1B">
        <w:rPr>
          <w:rFonts w:eastAsia="+mn-ea"/>
          <w:kern w:val="24"/>
          <w:szCs w:val="24"/>
          <w:lang w:eastAsia="en-CA"/>
        </w:rPr>
        <w:t>the le</w:t>
      </w:r>
      <w:r w:rsidR="009A342E" w:rsidRPr="00816DDD">
        <w:rPr>
          <w:rFonts w:eastAsia="+mn-ea"/>
          <w:kern w:val="24"/>
          <w:szCs w:val="24"/>
          <w:lang w:eastAsia="en-CA"/>
        </w:rPr>
        <w:t>ase is broken or</w:t>
      </w:r>
      <w:r w:rsidR="00776A3C" w:rsidRPr="00816DDD">
        <w:rPr>
          <w:rFonts w:eastAsia="+mn-ea"/>
          <w:kern w:val="24"/>
          <w:szCs w:val="24"/>
          <w:lang w:eastAsia="en-CA"/>
        </w:rPr>
        <w:t xml:space="preserve"> a business</w:t>
      </w:r>
      <w:r w:rsidR="009A342E" w:rsidRPr="00816DDD">
        <w:rPr>
          <w:rFonts w:eastAsia="+mn-ea"/>
          <w:kern w:val="24"/>
          <w:szCs w:val="24"/>
          <w:lang w:eastAsia="en-CA"/>
        </w:rPr>
        <w:t xml:space="preserve"> finding a </w:t>
      </w:r>
      <w:r w:rsidR="00776A3C" w:rsidRPr="00816DDD">
        <w:rPr>
          <w:rFonts w:eastAsia="+mn-ea"/>
          <w:kern w:val="24"/>
          <w:szCs w:val="24"/>
          <w:lang w:eastAsia="en-CA"/>
        </w:rPr>
        <w:t>substitute</w:t>
      </w:r>
      <w:r w:rsidR="009A342E" w:rsidRPr="00816DDD">
        <w:rPr>
          <w:rFonts w:eastAsia="+mn-ea"/>
          <w:kern w:val="24"/>
          <w:szCs w:val="24"/>
          <w:lang w:eastAsia="en-CA"/>
        </w:rPr>
        <w:t xml:space="preserve"> supplier or contract when </w:t>
      </w:r>
      <w:r w:rsidR="00776A3C" w:rsidRPr="00816DDD">
        <w:rPr>
          <w:rFonts w:eastAsia="+mn-ea"/>
          <w:kern w:val="24"/>
          <w:szCs w:val="24"/>
          <w:lang w:eastAsia="en-CA"/>
        </w:rPr>
        <w:t xml:space="preserve">it is </w:t>
      </w:r>
      <w:r w:rsidR="009A342E" w:rsidRPr="00816DDD">
        <w:rPr>
          <w:rFonts w:eastAsia="+mn-ea"/>
          <w:kern w:val="24"/>
          <w:szCs w:val="24"/>
          <w:lang w:eastAsia="en-CA"/>
        </w:rPr>
        <w:t xml:space="preserve">not able to perform on </w:t>
      </w:r>
      <w:r w:rsidR="00776A3C" w:rsidRPr="00816DDD">
        <w:rPr>
          <w:rFonts w:eastAsia="+mn-ea"/>
          <w:kern w:val="24"/>
          <w:szCs w:val="24"/>
          <w:lang w:eastAsia="en-CA"/>
        </w:rPr>
        <w:t xml:space="preserve">a </w:t>
      </w:r>
      <w:r w:rsidR="009A342E" w:rsidRPr="00816DDD">
        <w:rPr>
          <w:rFonts w:eastAsia="+mn-ea"/>
          <w:kern w:val="24"/>
          <w:szCs w:val="24"/>
          <w:lang w:eastAsia="en-CA"/>
        </w:rPr>
        <w:t>contract</w:t>
      </w:r>
      <w:r w:rsidRPr="00816DDD">
        <w:rPr>
          <w:rFonts w:eastAsia="+mn-ea"/>
          <w:kern w:val="24"/>
          <w:szCs w:val="24"/>
          <w:lang w:eastAsia="en-CA"/>
        </w:rPr>
        <w:t>.</w:t>
      </w:r>
      <w:r w:rsidR="00570A3D" w:rsidRPr="00816DDD">
        <w:rPr>
          <w:rFonts w:eastAsia="+mn-ea"/>
          <w:kern w:val="24"/>
          <w:szCs w:val="24"/>
          <w:lang w:eastAsia="en-CA"/>
        </w:rPr>
        <w:t xml:space="preserve"> </w:t>
      </w:r>
      <w:r w:rsidRPr="00816DDD">
        <w:rPr>
          <w:rFonts w:eastAsia="+mn-ea"/>
          <w:kern w:val="24"/>
          <w:szCs w:val="24"/>
          <w:lang w:eastAsia="en-CA"/>
        </w:rPr>
        <w:t xml:space="preserve"> </w:t>
      </w:r>
      <w:r w:rsidR="00570A3D" w:rsidRPr="00816DDD">
        <w:rPr>
          <w:rFonts w:eastAsia="+mn-ea"/>
          <w:kern w:val="24"/>
          <w:szCs w:val="24"/>
          <w:lang w:eastAsia="en-CA"/>
        </w:rPr>
        <w:t xml:space="preserve">Benefits are only paid for accidents and not </w:t>
      </w:r>
      <w:r w:rsidR="009A342E" w:rsidRPr="00816DDD">
        <w:rPr>
          <w:rFonts w:eastAsia="+mn-ea"/>
          <w:kern w:val="24"/>
          <w:szCs w:val="24"/>
          <w:lang w:eastAsia="en-CA"/>
        </w:rPr>
        <w:t xml:space="preserve">for </w:t>
      </w:r>
      <w:r w:rsidR="00570A3D" w:rsidRPr="00816DDD">
        <w:rPr>
          <w:rFonts w:eastAsia="+mn-ea"/>
          <w:kern w:val="24"/>
          <w:szCs w:val="24"/>
          <w:lang w:eastAsia="en-CA"/>
        </w:rPr>
        <w:t>intentional</w:t>
      </w:r>
      <w:r w:rsidR="00776A3C" w:rsidRPr="00816DDD">
        <w:rPr>
          <w:rFonts w:eastAsia="+mn-ea"/>
          <w:kern w:val="24"/>
          <w:szCs w:val="24"/>
          <w:lang w:eastAsia="en-CA"/>
        </w:rPr>
        <w:t xml:space="preserve">, negligent, or </w:t>
      </w:r>
      <w:r w:rsidR="00570A3D" w:rsidRPr="00816DDD">
        <w:rPr>
          <w:rFonts w:eastAsia="+mn-ea"/>
          <w:kern w:val="24"/>
          <w:szCs w:val="24"/>
          <w:lang w:eastAsia="en-CA"/>
        </w:rPr>
        <w:t>criminal act</w:t>
      </w:r>
      <w:r w:rsidR="00776A3C" w:rsidRPr="00816DDD">
        <w:rPr>
          <w:rFonts w:eastAsia="+mn-ea"/>
          <w:kern w:val="24"/>
          <w:szCs w:val="24"/>
          <w:lang w:eastAsia="en-CA"/>
        </w:rPr>
        <w:t>s</w:t>
      </w:r>
      <w:r w:rsidR="00570A3D" w:rsidRPr="00816DDD">
        <w:rPr>
          <w:rFonts w:eastAsia="+mn-ea"/>
          <w:kern w:val="24"/>
          <w:szCs w:val="24"/>
          <w:lang w:eastAsia="en-CA"/>
        </w:rPr>
        <w:t>.</w:t>
      </w:r>
    </w:p>
    <w:p w14:paraId="12929BA1" w14:textId="77777777" w:rsidR="00E242F1" w:rsidRPr="00816DDD" w:rsidRDefault="00E242F1" w:rsidP="000E660D">
      <w:pPr>
        <w:spacing w:after="0" w:line="240" w:lineRule="auto"/>
        <w:rPr>
          <w:rFonts w:eastAsia="+mn-ea"/>
          <w:kern w:val="24"/>
          <w:szCs w:val="24"/>
          <w:lang w:eastAsia="en-CA"/>
        </w:rPr>
      </w:pPr>
    </w:p>
    <w:p w14:paraId="6821105D" w14:textId="2B123871" w:rsidR="00E242F1" w:rsidRPr="00816DDD" w:rsidRDefault="00E242F1" w:rsidP="00776A3C">
      <w:pPr>
        <w:spacing w:after="0" w:line="240" w:lineRule="auto"/>
        <w:rPr>
          <w:rFonts w:eastAsia="+mn-ea"/>
          <w:kern w:val="24"/>
          <w:szCs w:val="24"/>
          <w:lang w:eastAsia="en-CA"/>
        </w:rPr>
      </w:pPr>
      <w:r w:rsidRPr="00816DDD">
        <w:rPr>
          <w:rFonts w:eastAsia="+mn-ea"/>
          <w:kern w:val="24"/>
          <w:szCs w:val="24"/>
          <w:lang w:eastAsia="en-CA"/>
        </w:rPr>
        <w:t>Insurance</w:t>
      </w:r>
      <w:r w:rsidR="00DA4343" w:rsidRPr="00816DDD">
        <w:rPr>
          <w:rFonts w:eastAsia="+mn-ea"/>
          <w:kern w:val="24"/>
          <w:szCs w:val="24"/>
          <w:lang w:eastAsia="en-CA"/>
        </w:rPr>
        <w:t xml:space="preserve"> pool</w:t>
      </w:r>
      <w:r w:rsidR="00570A3D" w:rsidRPr="00816DDD">
        <w:rPr>
          <w:rFonts w:eastAsia="+mn-ea"/>
          <w:kern w:val="24"/>
          <w:szCs w:val="24"/>
          <w:lang w:eastAsia="en-CA"/>
        </w:rPr>
        <w:t>s</w:t>
      </w:r>
      <w:r w:rsidR="00DA4343" w:rsidRPr="00816DDD">
        <w:rPr>
          <w:rFonts w:eastAsia="+mn-ea"/>
          <w:kern w:val="24"/>
          <w:szCs w:val="24"/>
          <w:lang w:eastAsia="en-CA"/>
        </w:rPr>
        <w:t xml:space="preserve"> the premiums of policyholders who are exposed to a random risk and us</w:t>
      </w:r>
      <w:r w:rsidR="00570A3D" w:rsidRPr="00816DDD">
        <w:rPr>
          <w:rFonts w:eastAsia="+mn-ea"/>
          <w:kern w:val="24"/>
          <w:szCs w:val="24"/>
          <w:lang w:eastAsia="en-CA"/>
        </w:rPr>
        <w:t>es</w:t>
      </w:r>
      <w:r w:rsidR="00DA4343" w:rsidRPr="00816DDD">
        <w:rPr>
          <w:rFonts w:eastAsia="+mn-ea"/>
          <w:kern w:val="24"/>
          <w:szCs w:val="24"/>
          <w:lang w:eastAsia="en-CA"/>
        </w:rPr>
        <w:t xml:space="preserve"> the funds to cover the losses </w:t>
      </w:r>
      <w:r w:rsidR="00570A3D" w:rsidRPr="00816DDD">
        <w:rPr>
          <w:rFonts w:eastAsia="+mn-ea"/>
          <w:kern w:val="24"/>
          <w:szCs w:val="24"/>
          <w:lang w:eastAsia="en-CA"/>
        </w:rPr>
        <w:t xml:space="preserve">of </w:t>
      </w:r>
      <w:r w:rsidR="00776A3C" w:rsidRPr="00816DDD">
        <w:rPr>
          <w:rFonts w:eastAsia="+mn-ea"/>
          <w:kern w:val="24"/>
          <w:szCs w:val="24"/>
          <w:lang w:eastAsia="en-CA"/>
        </w:rPr>
        <w:t xml:space="preserve">the </w:t>
      </w:r>
      <w:r w:rsidR="00570A3D" w:rsidRPr="00816DDD">
        <w:rPr>
          <w:rFonts w:eastAsia="+mn-ea"/>
          <w:kern w:val="24"/>
          <w:szCs w:val="24"/>
          <w:lang w:eastAsia="en-CA"/>
        </w:rPr>
        <w:t xml:space="preserve">small number of </w:t>
      </w:r>
      <w:r w:rsidR="00DA4343" w:rsidRPr="00816DDD">
        <w:rPr>
          <w:rFonts w:eastAsia="+mn-ea"/>
          <w:kern w:val="24"/>
          <w:szCs w:val="24"/>
          <w:lang w:eastAsia="en-CA"/>
        </w:rPr>
        <w:t>policyholders</w:t>
      </w:r>
      <w:r w:rsidR="00570A3D" w:rsidRPr="00816DDD">
        <w:rPr>
          <w:rFonts w:eastAsia="+mn-ea"/>
          <w:kern w:val="24"/>
          <w:szCs w:val="24"/>
          <w:lang w:eastAsia="en-CA"/>
        </w:rPr>
        <w:t xml:space="preserve"> who</w:t>
      </w:r>
      <w:r w:rsidR="00716CD9">
        <w:rPr>
          <w:rFonts w:eastAsia="+mn-ea"/>
          <w:kern w:val="24"/>
          <w:szCs w:val="24"/>
          <w:lang w:eastAsia="en-CA"/>
        </w:rPr>
        <w:t xml:space="preserve"> </w:t>
      </w:r>
      <w:r w:rsidR="00570A3D" w:rsidRPr="00816DDD">
        <w:rPr>
          <w:rFonts w:eastAsia="+mn-ea"/>
          <w:kern w:val="24"/>
          <w:szCs w:val="24"/>
          <w:lang w:eastAsia="en-CA"/>
        </w:rPr>
        <w:t>incur</w:t>
      </w:r>
      <w:r w:rsidR="00776A3C" w:rsidRPr="00816DDD">
        <w:rPr>
          <w:rFonts w:eastAsia="+mn-ea"/>
          <w:kern w:val="24"/>
          <w:szCs w:val="24"/>
          <w:lang w:eastAsia="en-CA"/>
        </w:rPr>
        <w:t>red</w:t>
      </w:r>
      <w:r w:rsidR="00570A3D" w:rsidRPr="00816DDD">
        <w:rPr>
          <w:rFonts w:eastAsia="+mn-ea"/>
          <w:kern w:val="24"/>
          <w:szCs w:val="24"/>
          <w:lang w:eastAsia="en-CA"/>
        </w:rPr>
        <w:t xml:space="preserve"> a loss</w:t>
      </w:r>
      <w:r w:rsidR="00DA4343" w:rsidRPr="00816DDD">
        <w:rPr>
          <w:rFonts w:eastAsia="+mn-ea"/>
          <w:kern w:val="24"/>
          <w:szCs w:val="24"/>
          <w:lang w:eastAsia="en-CA"/>
        </w:rPr>
        <w:t xml:space="preserve">.  Actual losses </w:t>
      </w:r>
      <w:r w:rsidR="0033153B" w:rsidRPr="00816DDD">
        <w:rPr>
          <w:rFonts w:eastAsia="+mn-ea"/>
          <w:kern w:val="24"/>
          <w:szCs w:val="24"/>
          <w:lang w:eastAsia="en-CA"/>
        </w:rPr>
        <w:t xml:space="preserve">each year </w:t>
      </w:r>
      <w:r w:rsidR="00DA4343" w:rsidRPr="00816DDD">
        <w:rPr>
          <w:rFonts w:eastAsia="+mn-ea"/>
          <w:kern w:val="24"/>
          <w:szCs w:val="24"/>
          <w:lang w:eastAsia="en-CA"/>
        </w:rPr>
        <w:t xml:space="preserve">can be accurately estimated because of the large number </w:t>
      </w:r>
      <w:r w:rsidR="00142B1B">
        <w:rPr>
          <w:rFonts w:eastAsia="+mn-ea"/>
          <w:kern w:val="24"/>
          <w:szCs w:val="24"/>
          <w:lang w:eastAsia="en-CA"/>
        </w:rPr>
        <w:t xml:space="preserve">of </w:t>
      </w:r>
      <w:r w:rsidR="00DA4343" w:rsidRPr="00816DDD">
        <w:rPr>
          <w:rFonts w:eastAsia="+mn-ea"/>
          <w:kern w:val="24"/>
          <w:szCs w:val="24"/>
          <w:lang w:eastAsia="en-CA"/>
        </w:rPr>
        <w:t xml:space="preserve">policyholders and are used to </w:t>
      </w:r>
      <w:r w:rsidR="0033153B" w:rsidRPr="00816DDD">
        <w:rPr>
          <w:rFonts w:eastAsia="+mn-ea"/>
          <w:kern w:val="24"/>
          <w:szCs w:val="24"/>
          <w:lang w:eastAsia="en-CA"/>
        </w:rPr>
        <w:t>calculate</w:t>
      </w:r>
      <w:r w:rsidR="00DA4343" w:rsidRPr="00816DDD">
        <w:rPr>
          <w:rFonts w:eastAsia="+mn-ea"/>
          <w:kern w:val="24"/>
          <w:szCs w:val="24"/>
          <w:lang w:eastAsia="en-CA"/>
        </w:rPr>
        <w:t xml:space="preserve"> the appropriate premium.</w:t>
      </w:r>
      <w:r w:rsidR="00570A3D" w:rsidRPr="00816DDD">
        <w:rPr>
          <w:rFonts w:eastAsia="+mn-ea"/>
          <w:kern w:val="24"/>
          <w:szCs w:val="24"/>
          <w:lang w:eastAsia="en-CA"/>
        </w:rPr>
        <w:t xml:space="preserve">  </w:t>
      </w:r>
      <w:r w:rsidR="00DA4343" w:rsidRPr="00816DDD">
        <w:rPr>
          <w:rFonts w:eastAsia="+mn-ea"/>
          <w:kern w:val="24"/>
          <w:szCs w:val="24"/>
          <w:lang w:eastAsia="en-CA"/>
        </w:rPr>
        <w:t>For example, a company has a manufacturing facility that it w</w:t>
      </w:r>
      <w:r w:rsidR="0033153B" w:rsidRPr="00816DDD">
        <w:rPr>
          <w:rFonts w:eastAsia="+mn-ea"/>
          <w:kern w:val="24"/>
          <w:szCs w:val="24"/>
          <w:lang w:eastAsia="en-CA"/>
        </w:rPr>
        <w:t>ants</w:t>
      </w:r>
      <w:r w:rsidR="00DA4343" w:rsidRPr="00816DDD">
        <w:rPr>
          <w:rFonts w:eastAsia="+mn-ea"/>
          <w:kern w:val="24"/>
          <w:szCs w:val="24"/>
          <w:lang w:eastAsia="en-CA"/>
        </w:rPr>
        <w:t xml:space="preserve"> to </w:t>
      </w:r>
      <w:r w:rsidR="00570A3D" w:rsidRPr="00816DDD">
        <w:rPr>
          <w:rFonts w:eastAsia="+mn-ea"/>
          <w:kern w:val="24"/>
          <w:szCs w:val="24"/>
          <w:lang w:eastAsia="en-CA"/>
        </w:rPr>
        <w:t>i</w:t>
      </w:r>
      <w:r w:rsidR="00DA4343" w:rsidRPr="00816DDD">
        <w:rPr>
          <w:rFonts w:eastAsia="+mn-ea"/>
          <w:kern w:val="24"/>
          <w:szCs w:val="24"/>
          <w:lang w:eastAsia="en-CA"/>
        </w:rPr>
        <w:t>nsure against fire.  The facility has a replacement cost of CAD 250</w:t>
      </w:r>
      <w:r w:rsidR="0033153B" w:rsidRPr="00816DDD">
        <w:rPr>
          <w:rFonts w:eastAsia="+mn-ea"/>
          <w:kern w:val="24"/>
          <w:szCs w:val="24"/>
          <w:lang w:eastAsia="en-CA"/>
        </w:rPr>
        <w:t xml:space="preserve"> million</w:t>
      </w:r>
      <w:r w:rsidR="00DA4343" w:rsidRPr="00816DDD">
        <w:rPr>
          <w:rFonts w:eastAsia="+mn-ea"/>
          <w:kern w:val="24"/>
          <w:szCs w:val="24"/>
          <w:lang w:eastAsia="en-CA"/>
        </w:rPr>
        <w:t xml:space="preserve"> </w:t>
      </w:r>
      <w:r w:rsidR="00DA4343" w:rsidRPr="00816DDD">
        <w:rPr>
          <w:rFonts w:eastAsia="+mn-ea"/>
          <w:kern w:val="24"/>
          <w:szCs w:val="24"/>
          <w:lang w:eastAsia="en-CA"/>
        </w:rPr>
        <w:lastRenderedPageBreak/>
        <w:t xml:space="preserve">and actuaries for the insurance </w:t>
      </w:r>
      <w:r w:rsidR="00570A3D" w:rsidRPr="00816DDD">
        <w:rPr>
          <w:rFonts w:eastAsia="+mn-ea"/>
          <w:kern w:val="24"/>
          <w:szCs w:val="24"/>
          <w:lang w:eastAsia="en-CA"/>
        </w:rPr>
        <w:t>provider</w:t>
      </w:r>
      <w:r w:rsidR="00DA4343" w:rsidRPr="00816DDD">
        <w:rPr>
          <w:rFonts w:eastAsia="+mn-ea"/>
          <w:kern w:val="24"/>
          <w:szCs w:val="24"/>
          <w:lang w:eastAsia="en-CA"/>
        </w:rPr>
        <w:t xml:space="preserve"> indicate there is a .015% probability it will be destroyed by fire in any year.  The company’s expected loss from fire each year is</w:t>
      </w:r>
      <w:r w:rsidR="00776A3C" w:rsidRPr="00816DDD">
        <w:rPr>
          <w:rFonts w:eastAsia="+mn-ea"/>
          <w:kern w:val="24"/>
          <w:szCs w:val="24"/>
          <w:lang w:eastAsia="en-CA"/>
        </w:rPr>
        <w:t xml:space="preserve"> CAD 37,500 (i.e., </w:t>
      </w:r>
      <w:r w:rsidR="00DA4343" w:rsidRPr="00816DDD">
        <w:rPr>
          <w:rFonts w:eastAsia="+mn-ea"/>
          <w:kern w:val="24"/>
          <w:szCs w:val="24"/>
          <w:lang w:eastAsia="en-CA"/>
        </w:rPr>
        <w:t>99.985% x CAD 0 + .015% x CAD 250</w:t>
      </w:r>
      <w:r w:rsidR="00570A3D" w:rsidRPr="00816DDD">
        <w:rPr>
          <w:rFonts w:eastAsia="+mn-ea"/>
          <w:kern w:val="24"/>
          <w:szCs w:val="24"/>
          <w:lang w:eastAsia="en-CA"/>
        </w:rPr>
        <w:t xml:space="preserve"> million</w:t>
      </w:r>
      <w:r w:rsidR="00776A3C" w:rsidRPr="00816DDD">
        <w:rPr>
          <w:rFonts w:eastAsia="+mn-ea"/>
          <w:kern w:val="24"/>
          <w:szCs w:val="24"/>
          <w:lang w:eastAsia="en-CA"/>
        </w:rPr>
        <w:t>).</w:t>
      </w:r>
    </w:p>
    <w:p w14:paraId="76CA5207" w14:textId="77777777" w:rsidR="00DA4343" w:rsidRPr="00816DDD" w:rsidRDefault="00DA4343" w:rsidP="000E660D">
      <w:pPr>
        <w:spacing w:after="0" w:line="240" w:lineRule="auto"/>
        <w:rPr>
          <w:rFonts w:eastAsia="+mn-ea"/>
          <w:kern w:val="24"/>
          <w:szCs w:val="24"/>
          <w:lang w:eastAsia="en-CA"/>
        </w:rPr>
      </w:pPr>
    </w:p>
    <w:p w14:paraId="358CA6E3" w14:textId="0069E4D3" w:rsidR="00DA4343" w:rsidRPr="00816DDD" w:rsidRDefault="00DA4343" w:rsidP="00570A3D">
      <w:pPr>
        <w:spacing w:after="0" w:line="240" w:lineRule="auto"/>
        <w:ind w:right="-36"/>
        <w:rPr>
          <w:rFonts w:eastAsia="+mn-ea"/>
          <w:kern w:val="24"/>
          <w:szCs w:val="24"/>
          <w:lang w:eastAsia="en-CA"/>
        </w:rPr>
      </w:pPr>
      <w:r w:rsidRPr="00816DDD">
        <w:rPr>
          <w:rFonts w:eastAsia="+mn-ea"/>
          <w:kern w:val="24"/>
          <w:szCs w:val="24"/>
          <w:lang w:eastAsia="en-CA"/>
        </w:rPr>
        <w:t xml:space="preserve">Although the probability of </w:t>
      </w:r>
      <w:r w:rsidR="00446424" w:rsidRPr="00816DDD">
        <w:rPr>
          <w:rFonts w:eastAsia="+mn-ea"/>
          <w:kern w:val="24"/>
          <w:szCs w:val="24"/>
          <w:lang w:eastAsia="en-CA"/>
        </w:rPr>
        <w:t xml:space="preserve">a </w:t>
      </w:r>
      <w:r w:rsidRPr="00816DDD">
        <w:rPr>
          <w:rFonts w:eastAsia="+mn-ea"/>
          <w:kern w:val="24"/>
          <w:szCs w:val="24"/>
          <w:lang w:eastAsia="en-CA"/>
        </w:rPr>
        <w:t xml:space="preserve">fire is small, the potential loss is high and </w:t>
      </w:r>
      <w:r w:rsidR="00446424" w:rsidRPr="00816DDD">
        <w:rPr>
          <w:rFonts w:eastAsia="+mn-ea"/>
          <w:kern w:val="24"/>
          <w:szCs w:val="24"/>
          <w:lang w:eastAsia="en-CA"/>
        </w:rPr>
        <w:t xml:space="preserve">likely </w:t>
      </w:r>
      <w:r w:rsidRPr="00816DDD">
        <w:rPr>
          <w:rFonts w:eastAsia="+mn-ea"/>
          <w:kern w:val="24"/>
          <w:szCs w:val="24"/>
          <w:lang w:eastAsia="en-CA"/>
        </w:rPr>
        <w:t xml:space="preserve">enough to </w:t>
      </w:r>
      <w:r w:rsidR="00446424" w:rsidRPr="00816DDD">
        <w:rPr>
          <w:rFonts w:eastAsia="+mn-ea"/>
          <w:kern w:val="24"/>
          <w:szCs w:val="24"/>
          <w:lang w:eastAsia="en-CA"/>
        </w:rPr>
        <w:t xml:space="preserve">cause </w:t>
      </w:r>
      <w:r w:rsidR="0033153B" w:rsidRPr="00816DDD">
        <w:rPr>
          <w:rFonts w:eastAsia="+mn-ea"/>
          <w:kern w:val="24"/>
          <w:szCs w:val="24"/>
          <w:lang w:eastAsia="en-CA"/>
        </w:rPr>
        <w:t xml:space="preserve">the company </w:t>
      </w:r>
      <w:r w:rsidR="00543380">
        <w:rPr>
          <w:rFonts w:eastAsia="+mn-ea"/>
          <w:kern w:val="24"/>
          <w:szCs w:val="24"/>
          <w:lang w:eastAsia="en-CA"/>
        </w:rPr>
        <w:t>severe</w:t>
      </w:r>
      <w:r w:rsidR="00446424" w:rsidRPr="00816DDD">
        <w:rPr>
          <w:rFonts w:eastAsia="+mn-ea"/>
          <w:kern w:val="24"/>
          <w:szCs w:val="24"/>
          <w:lang w:eastAsia="en-CA"/>
        </w:rPr>
        <w:t xml:space="preserve"> financial distress</w:t>
      </w:r>
      <w:r w:rsidRPr="00816DDD">
        <w:rPr>
          <w:rFonts w:eastAsia="+mn-ea"/>
          <w:kern w:val="24"/>
          <w:szCs w:val="24"/>
          <w:lang w:eastAsia="en-CA"/>
        </w:rPr>
        <w:t>.  By paying an insurance premium of CAD 37,500 each year, the company can transfer the risk</w:t>
      </w:r>
      <w:r w:rsidR="00570A3D" w:rsidRPr="00816DDD">
        <w:rPr>
          <w:rFonts w:eastAsia="+mn-ea"/>
          <w:kern w:val="24"/>
          <w:szCs w:val="24"/>
          <w:lang w:eastAsia="en-CA"/>
        </w:rPr>
        <w:t xml:space="preserve"> </w:t>
      </w:r>
      <w:r w:rsidRPr="00816DDD">
        <w:rPr>
          <w:rFonts w:eastAsia="+mn-ea"/>
          <w:kern w:val="24"/>
          <w:szCs w:val="24"/>
          <w:lang w:eastAsia="en-CA"/>
        </w:rPr>
        <w:t xml:space="preserve">to the insurance company.  Finding insurance is more difficult when the loss is non-random and </w:t>
      </w:r>
      <w:r w:rsidR="00570A3D" w:rsidRPr="00816DDD">
        <w:rPr>
          <w:rFonts w:eastAsia="+mn-ea"/>
          <w:kern w:val="24"/>
          <w:szCs w:val="24"/>
          <w:lang w:eastAsia="en-CA"/>
        </w:rPr>
        <w:t xml:space="preserve">possibly </w:t>
      </w:r>
      <w:r w:rsidRPr="00816DDD">
        <w:rPr>
          <w:rFonts w:eastAsia="+mn-ea"/>
          <w:kern w:val="24"/>
          <w:szCs w:val="24"/>
          <w:lang w:eastAsia="en-CA"/>
        </w:rPr>
        <w:t>catastrophic.</w:t>
      </w:r>
      <w:r w:rsidR="00570A3D" w:rsidRPr="00816DDD">
        <w:rPr>
          <w:rFonts w:eastAsia="+mn-ea"/>
          <w:kern w:val="24"/>
          <w:szCs w:val="24"/>
          <w:lang w:eastAsia="en-CA"/>
        </w:rPr>
        <w:t xml:space="preserve">  </w:t>
      </w:r>
      <w:r w:rsidRPr="00816DDD">
        <w:rPr>
          <w:rFonts w:eastAsia="+mn-ea"/>
          <w:kern w:val="24"/>
          <w:szCs w:val="24"/>
          <w:lang w:eastAsia="en-CA"/>
        </w:rPr>
        <w:t>Non-random</w:t>
      </w:r>
      <w:r w:rsidR="00570A3D" w:rsidRPr="00816DDD">
        <w:rPr>
          <w:rFonts w:eastAsia="+mn-ea"/>
          <w:kern w:val="24"/>
          <w:szCs w:val="24"/>
          <w:lang w:eastAsia="en-CA"/>
        </w:rPr>
        <w:t xml:space="preserve"> </w:t>
      </w:r>
      <w:r w:rsidRPr="00816DDD">
        <w:rPr>
          <w:rFonts w:eastAsia="+mn-ea"/>
          <w:kern w:val="24"/>
          <w:szCs w:val="24"/>
          <w:lang w:eastAsia="en-CA"/>
        </w:rPr>
        <w:t>losses tend to happen all at onc</w:t>
      </w:r>
      <w:r w:rsidR="00446424" w:rsidRPr="00816DDD">
        <w:rPr>
          <w:rFonts w:eastAsia="+mn-ea"/>
          <w:kern w:val="24"/>
          <w:szCs w:val="24"/>
          <w:lang w:eastAsia="en-CA"/>
        </w:rPr>
        <w:t>e</w:t>
      </w:r>
      <w:r w:rsidRPr="00816DDD">
        <w:rPr>
          <w:rFonts w:eastAsia="+mn-ea"/>
          <w:kern w:val="24"/>
          <w:szCs w:val="24"/>
          <w:lang w:eastAsia="en-CA"/>
        </w:rPr>
        <w:t xml:space="preserve">, while catastrophic </w:t>
      </w:r>
      <w:r w:rsidR="00AA0B27">
        <w:rPr>
          <w:rFonts w:eastAsia="+mn-ea"/>
          <w:kern w:val="24"/>
          <w:szCs w:val="24"/>
          <w:lang w:eastAsia="en-CA"/>
        </w:rPr>
        <w:t>losses mean</w:t>
      </w:r>
      <w:r w:rsidRPr="00816DDD">
        <w:rPr>
          <w:rFonts w:eastAsia="+mn-ea"/>
          <w:kern w:val="24"/>
          <w:szCs w:val="24"/>
          <w:lang w:eastAsia="en-CA"/>
        </w:rPr>
        <w:t xml:space="preserve"> the losses are </w:t>
      </w:r>
      <w:r w:rsidR="00A0054B">
        <w:rPr>
          <w:rFonts w:eastAsia="+mn-ea"/>
          <w:kern w:val="24"/>
          <w:szCs w:val="24"/>
          <w:lang w:eastAsia="en-CA"/>
        </w:rPr>
        <w:t>significant</w:t>
      </w:r>
      <w:r w:rsidRPr="00816DDD">
        <w:rPr>
          <w:rFonts w:eastAsia="+mn-ea"/>
          <w:kern w:val="24"/>
          <w:szCs w:val="24"/>
          <w:lang w:eastAsia="en-CA"/>
        </w:rPr>
        <w:t xml:space="preserve"> enough to po</w:t>
      </w:r>
      <w:r w:rsidR="00570A3D" w:rsidRPr="00816DDD">
        <w:rPr>
          <w:rFonts w:eastAsia="+mn-ea"/>
          <w:kern w:val="24"/>
          <w:szCs w:val="24"/>
          <w:lang w:eastAsia="en-CA"/>
        </w:rPr>
        <w:t>tentially</w:t>
      </w:r>
      <w:r w:rsidRPr="00816DDD">
        <w:rPr>
          <w:rFonts w:eastAsia="+mn-ea"/>
          <w:kern w:val="24"/>
          <w:szCs w:val="24"/>
          <w:lang w:eastAsia="en-CA"/>
        </w:rPr>
        <w:t xml:space="preserve"> bankrupt the insurance company. </w:t>
      </w:r>
      <w:r w:rsidR="00570A3D" w:rsidRPr="00816DDD">
        <w:rPr>
          <w:rFonts w:eastAsia="+mn-ea"/>
          <w:kern w:val="24"/>
          <w:szCs w:val="24"/>
          <w:lang w:eastAsia="en-CA"/>
        </w:rPr>
        <w:t xml:space="preserve"> </w:t>
      </w:r>
      <w:r w:rsidR="0033153B" w:rsidRPr="00816DDD">
        <w:rPr>
          <w:rFonts w:eastAsia="+mn-ea"/>
          <w:kern w:val="24"/>
          <w:szCs w:val="24"/>
          <w:lang w:eastAsia="en-CA"/>
        </w:rPr>
        <w:t xml:space="preserve">Potential losses from </w:t>
      </w:r>
      <w:r w:rsidR="00446424" w:rsidRPr="00816DDD">
        <w:rPr>
          <w:rFonts w:eastAsia="+mn-ea"/>
          <w:kern w:val="24"/>
          <w:szCs w:val="24"/>
          <w:lang w:eastAsia="en-CA"/>
        </w:rPr>
        <w:t xml:space="preserve">earthquakes, </w:t>
      </w:r>
      <w:r w:rsidRPr="00816DDD">
        <w:rPr>
          <w:rFonts w:eastAsia="+mn-ea"/>
          <w:kern w:val="24"/>
          <w:szCs w:val="24"/>
          <w:lang w:eastAsia="en-CA"/>
        </w:rPr>
        <w:t>floods</w:t>
      </w:r>
      <w:r w:rsidR="00446424" w:rsidRPr="00816DDD">
        <w:rPr>
          <w:rFonts w:eastAsia="+mn-ea"/>
          <w:kern w:val="24"/>
          <w:szCs w:val="24"/>
          <w:lang w:eastAsia="en-CA"/>
        </w:rPr>
        <w:t xml:space="preserve">, </w:t>
      </w:r>
      <w:r w:rsidRPr="00816DDD">
        <w:rPr>
          <w:rFonts w:eastAsia="+mn-ea"/>
          <w:kern w:val="24"/>
          <w:szCs w:val="24"/>
          <w:lang w:eastAsia="en-CA"/>
        </w:rPr>
        <w:t>hurricanes</w:t>
      </w:r>
      <w:r w:rsidR="00446424" w:rsidRPr="00816DDD">
        <w:rPr>
          <w:rFonts w:eastAsia="+mn-ea"/>
          <w:kern w:val="24"/>
          <w:szCs w:val="24"/>
          <w:lang w:eastAsia="en-CA"/>
        </w:rPr>
        <w:t xml:space="preserve">, and terrorism </w:t>
      </w:r>
      <w:r w:rsidR="0033153B" w:rsidRPr="00816DDD">
        <w:rPr>
          <w:rFonts w:eastAsia="+mn-ea"/>
          <w:kern w:val="24"/>
          <w:szCs w:val="24"/>
          <w:lang w:eastAsia="en-CA"/>
        </w:rPr>
        <w:t>meet these conditions</w:t>
      </w:r>
      <w:r w:rsidR="00AA0B27">
        <w:rPr>
          <w:rFonts w:eastAsia="+mn-ea"/>
          <w:kern w:val="24"/>
          <w:szCs w:val="24"/>
          <w:lang w:eastAsia="en-CA"/>
        </w:rPr>
        <w:t>,</w:t>
      </w:r>
      <w:r w:rsidR="0033153B" w:rsidRPr="00816DDD">
        <w:rPr>
          <w:rFonts w:eastAsia="+mn-ea"/>
          <w:kern w:val="24"/>
          <w:szCs w:val="24"/>
          <w:lang w:eastAsia="en-CA"/>
        </w:rPr>
        <w:t xml:space="preserve"> </w:t>
      </w:r>
      <w:r w:rsidRPr="00816DDD">
        <w:rPr>
          <w:rFonts w:eastAsia="+mn-ea"/>
          <w:kern w:val="24"/>
          <w:szCs w:val="24"/>
          <w:lang w:eastAsia="en-CA"/>
        </w:rPr>
        <w:t xml:space="preserve">which explains why </w:t>
      </w:r>
      <w:r w:rsidR="00446424" w:rsidRPr="00816DDD">
        <w:rPr>
          <w:rFonts w:eastAsia="+mn-ea"/>
          <w:kern w:val="24"/>
          <w:szCs w:val="24"/>
          <w:lang w:eastAsia="en-CA"/>
        </w:rPr>
        <w:t>the</w:t>
      </w:r>
      <w:r w:rsidR="0033153B" w:rsidRPr="00816DDD">
        <w:rPr>
          <w:rFonts w:eastAsia="+mn-ea"/>
          <w:kern w:val="24"/>
          <w:szCs w:val="24"/>
          <w:lang w:eastAsia="en-CA"/>
        </w:rPr>
        <w:t xml:space="preserve">y </w:t>
      </w:r>
      <w:r w:rsidR="00446424" w:rsidRPr="00816DDD">
        <w:rPr>
          <w:rFonts w:eastAsia="+mn-ea"/>
          <w:kern w:val="24"/>
          <w:szCs w:val="24"/>
          <w:lang w:eastAsia="en-CA"/>
        </w:rPr>
        <w:t xml:space="preserve">are excluded from most </w:t>
      </w:r>
      <w:r w:rsidR="00570A3D" w:rsidRPr="00816DDD">
        <w:rPr>
          <w:rFonts w:eastAsia="+mn-ea"/>
          <w:kern w:val="24"/>
          <w:szCs w:val="24"/>
          <w:lang w:eastAsia="en-CA"/>
        </w:rPr>
        <w:t xml:space="preserve">insurance </w:t>
      </w:r>
      <w:r w:rsidR="00446424" w:rsidRPr="00816DDD">
        <w:rPr>
          <w:rFonts w:eastAsia="+mn-ea"/>
          <w:kern w:val="24"/>
          <w:szCs w:val="24"/>
          <w:lang w:eastAsia="en-CA"/>
        </w:rPr>
        <w:t>policies</w:t>
      </w:r>
      <w:r w:rsidR="001054FE">
        <w:rPr>
          <w:rFonts w:eastAsia="+mn-ea"/>
          <w:kern w:val="24"/>
          <w:szCs w:val="24"/>
          <w:lang w:eastAsia="en-CA"/>
        </w:rPr>
        <w:t>,</w:t>
      </w:r>
      <w:r w:rsidRPr="00816DDD">
        <w:rPr>
          <w:rFonts w:eastAsia="+mn-ea"/>
          <w:kern w:val="24"/>
          <w:szCs w:val="24"/>
          <w:lang w:eastAsia="en-CA"/>
        </w:rPr>
        <w:t xml:space="preserve"> and</w:t>
      </w:r>
      <w:r w:rsidR="0033153B" w:rsidRPr="00816DDD">
        <w:rPr>
          <w:rFonts w:eastAsia="+mn-ea"/>
          <w:kern w:val="24"/>
          <w:szCs w:val="24"/>
          <w:lang w:eastAsia="en-CA"/>
        </w:rPr>
        <w:t xml:space="preserve"> </w:t>
      </w:r>
      <w:r w:rsidRPr="00816DDD">
        <w:rPr>
          <w:rFonts w:eastAsia="+mn-ea"/>
          <w:kern w:val="24"/>
          <w:szCs w:val="24"/>
          <w:lang w:eastAsia="en-CA"/>
        </w:rPr>
        <w:t xml:space="preserve">governments </w:t>
      </w:r>
      <w:r w:rsidR="00570A3D" w:rsidRPr="00816DDD">
        <w:rPr>
          <w:rFonts w:eastAsia="+mn-ea"/>
          <w:kern w:val="24"/>
          <w:szCs w:val="24"/>
          <w:lang w:eastAsia="en-CA"/>
        </w:rPr>
        <w:t xml:space="preserve">must often </w:t>
      </w:r>
      <w:r w:rsidR="00446424" w:rsidRPr="00816DDD">
        <w:rPr>
          <w:rFonts w:eastAsia="+mn-ea"/>
          <w:kern w:val="24"/>
          <w:szCs w:val="24"/>
          <w:lang w:eastAsia="en-CA"/>
        </w:rPr>
        <w:t>step in to provide coverage</w:t>
      </w:r>
      <w:r w:rsidRPr="00816DDD">
        <w:rPr>
          <w:rFonts w:eastAsia="+mn-ea"/>
          <w:kern w:val="24"/>
          <w:szCs w:val="24"/>
          <w:lang w:eastAsia="en-CA"/>
        </w:rPr>
        <w:t>.</w:t>
      </w:r>
      <w:r w:rsidR="00175A4A" w:rsidRPr="00816DDD">
        <w:rPr>
          <w:rFonts w:eastAsia="+mn-ea"/>
          <w:kern w:val="24"/>
          <w:szCs w:val="24"/>
          <w:lang w:eastAsia="en-CA"/>
        </w:rPr>
        <w:t xml:space="preserve">  A few large, well-capitalized</w:t>
      </w:r>
      <w:r w:rsidR="00776A3C" w:rsidRPr="00816DDD">
        <w:rPr>
          <w:rFonts w:eastAsia="+mn-ea"/>
          <w:kern w:val="24"/>
          <w:szCs w:val="24"/>
          <w:lang w:eastAsia="en-CA"/>
        </w:rPr>
        <w:t xml:space="preserve"> </w:t>
      </w:r>
      <w:r w:rsidR="00175A4A" w:rsidRPr="00816DDD">
        <w:rPr>
          <w:rFonts w:eastAsia="+mn-ea"/>
          <w:kern w:val="24"/>
          <w:szCs w:val="24"/>
          <w:lang w:eastAsia="en-CA"/>
        </w:rPr>
        <w:t xml:space="preserve">insurance companies </w:t>
      </w:r>
      <w:r w:rsidR="00BE12AA" w:rsidRPr="00816DDD">
        <w:rPr>
          <w:rFonts w:eastAsia="+mn-ea"/>
          <w:kern w:val="24"/>
          <w:szCs w:val="24"/>
          <w:lang w:eastAsia="en-CA"/>
        </w:rPr>
        <w:t xml:space="preserve">called reinsurers also </w:t>
      </w:r>
      <w:r w:rsidR="00175A4A" w:rsidRPr="00816DDD">
        <w:rPr>
          <w:rFonts w:eastAsia="+mn-ea"/>
          <w:kern w:val="24"/>
          <w:szCs w:val="24"/>
          <w:lang w:eastAsia="en-CA"/>
        </w:rPr>
        <w:t xml:space="preserve">provide coverage to </w:t>
      </w:r>
      <w:r w:rsidR="00570A3D" w:rsidRPr="00816DDD">
        <w:rPr>
          <w:rFonts w:eastAsia="+mn-ea"/>
          <w:kern w:val="24"/>
          <w:szCs w:val="24"/>
          <w:lang w:eastAsia="en-CA"/>
        </w:rPr>
        <w:t xml:space="preserve">smaller </w:t>
      </w:r>
      <w:r w:rsidR="00175A4A" w:rsidRPr="00816DDD">
        <w:rPr>
          <w:rFonts w:eastAsia="+mn-ea"/>
          <w:kern w:val="24"/>
          <w:szCs w:val="24"/>
          <w:lang w:eastAsia="en-CA"/>
        </w:rPr>
        <w:t>insurers</w:t>
      </w:r>
      <w:r w:rsidR="00570A3D" w:rsidRPr="00816DDD">
        <w:rPr>
          <w:rFonts w:eastAsia="+mn-ea"/>
          <w:kern w:val="24"/>
          <w:szCs w:val="24"/>
          <w:lang w:eastAsia="en-CA"/>
        </w:rPr>
        <w:t xml:space="preserve"> that </w:t>
      </w:r>
      <w:r w:rsidR="00175A4A" w:rsidRPr="00816DDD">
        <w:rPr>
          <w:rFonts w:eastAsia="+mn-ea"/>
          <w:kern w:val="24"/>
          <w:szCs w:val="24"/>
          <w:lang w:eastAsia="en-CA"/>
        </w:rPr>
        <w:t xml:space="preserve">are worried about </w:t>
      </w:r>
      <w:r w:rsidR="00570A3D" w:rsidRPr="00816DDD">
        <w:rPr>
          <w:rFonts w:eastAsia="+mn-ea"/>
          <w:kern w:val="24"/>
          <w:szCs w:val="24"/>
          <w:lang w:eastAsia="en-CA"/>
        </w:rPr>
        <w:t xml:space="preserve">high </w:t>
      </w:r>
      <w:r w:rsidR="00175A4A" w:rsidRPr="00816DDD">
        <w:rPr>
          <w:rFonts w:eastAsia="+mn-ea"/>
          <w:kern w:val="24"/>
          <w:szCs w:val="24"/>
          <w:lang w:eastAsia="en-CA"/>
        </w:rPr>
        <w:t>losses</w:t>
      </w:r>
      <w:r w:rsidR="00570A3D" w:rsidRPr="00816DDD">
        <w:rPr>
          <w:rFonts w:eastAsia="+mn-ea"/>
          <w:kern w:val="24"/>
          <w:szCs w:val="24"/>
          <w:lang w:eastAsia="en-CA"/>
        </w:rPr>
        <w:t xml:space="preserve"> and need to diversify further.</w:t>
      </w:r>
    </w:p>
    <w:p w14:paraId="715D61CB" w14:textId="77777777" w:rsidR="00DA4343" w:rsidRPr="00816DDD" w:rsidRDefault="00DA4343" w:rsidP="00DA4343">
      <w:pPr>
        <w:spacing w:after="0" w:line="240" w:lineRule="auto"/>
        <w:rPr>
          <w:rFonts w:eastAsia="+mn-ea"/>
          <w:kern w:val="24"/>
          <w:szCs w:val="24"/>
          <w:lang w:eastAsia="en-CA"/>
        </w:rPr>
      </w:pPr>
    </w:p>
    <w:p w14:paraId="502F0CAA" w14:textId="34B08C07" w:rsidR="00446424" w:rsidRPr="00816DDD" w:rsidRDefault="0033153B" w:rsidP="0033153B">
      <w:pPr>
        <w:spacing w:after="0" w:line="240" w:lineRule="auto"/>
        <w:ind w:right="-126"/>
        <w:rPr>
          <w:rFonts w:eastAsia="+mn-ea"/>
          <w:kern w:val="24"/>
          <w:szCs w:val="24"/>
          <w:lang w:eastAsia="en-CA"/>
        </w:rPr>
      </w:pPr>
      <w:r w:rsidRPr="00816DDD">
        <w:rPr>
          <w:rFonts w:eastAsia="+mn-ea"/>
          <w:kern w:val="24"/>
          <w:szCs w:val="24"/>
          <w:lang w:eastAsia="en-CA"/>
        </w:rPr>
        <w:t>G</w:t>
      </w:r>
      <w:r w:rsidR="00446424" w:rsidRPr="00816DDD">
        <w:rPr>
          <w:rFonts w:eastAsia="+mn-ea"/>
          <w:kern w:val="24"/>
          <w:szCs w:val="24"/>
          <w:lang w:eastAsia="en-CA"/>
        </w:rPr>
        <w:t xml:space="preserve">eneral insurance companies sell a variety of products, but most </w:t>
      </w:r>
      <w:r w:rsidR="00570A3D" w:rsidRPr="00816DDD">
        <w:rPr>
          <w:rFonts w:eastAsia="+mn-ea"/>
          <w:kern w:val="24"/>
          <w:szCs w:val="24"/>
          <w:lang w:eastAsia="en-CA"/>
        </w:rPr>
        <w:t xml:space="preserve">insurers </w:t>
      </w:r>
      <w:r w:rsidR="00446424" w:rsidRPr="00816DDD">
        <w:rPr>
          <w:rFonts w:eastAsia="+mn-ea"/>
          <w:kern w:val="24"/>
          <w:szCs w:val="24"/>
          <w:lang w:eastAsia="en-CA"/>
        </w:rPr>
        <w:t xml:space="preserve">specialize in either life, property and </w:t>
      </w:r>
      <w:r w:rsidR="00BE12AA" w:rsidRPr="00816DDD">
        <w:rPr>
          <w:rFonts w:eastAsia="+mn-ea"/>
          <w:kern w:val="24"/>
          <w:szCs w:val="24"/>
          <w:lang w:eastAsia="en-CA"/>
        </w:rPr>
        <w:t>liability</w:t>
      </w:r>
      <w:r w:rsidR="00446424" w:rsidRPr="00816DDD">
        <w:rPr>
          <w:rFonts w:eastAsia="+mn-ea"/>
          <w:kern w:val="24"/>
          <w:szCs w:val="24"/>
          <w:lang w:eastAsia="en-CA"/>
        </w:rPr>
        <w:t xml:space="preserve"> or health insurance.  Life insurance companies provide retirement annuities and pension plans in addition to insurance, so they are</w:t>
      </w:r>
      <w:r w:rsidRPr="00816DDD">
        <w:rPr>
          <w:rFonts w:eastAsia="+mn-ea"/>
          <w:kern w:val="24"/>
          <w:szCs w:val="24"/>
          <w:lang w:eastAsia="en-CA"/>
        </w:rPr>
        <w:t xml:space="preserve"> </w:t>
      </w:r>
      <w:r w:rsidR="00446424" w:rsidRPr="00816DDD">
        <w:rPr>
          <w:rFonts w:eastAsia="+mn-ea"/>
          <w:kern w:val="24"/>
          <w:szCs w:val="24"/>
          <w:lang w:eastAsia="en-CA"/>
        </w:rPr>
        <w:t>more like a wealth-management firm and have long</w:t>
      </w:r>
      <w:r w:rsidRPr="00816DDD">
        <w:rPr>
          <w:rFonts w:eastAsia="+mn-ea"/>
          <w:kern w:val="24"/>
          <w:szCs w:val="24"/>
          <w:lang w:eastAsia="en-CA"/>
        </w:rPr>
        <w:t>er</w:t>
      </w:r>
      <w:r w:rsidR="00446424" w:rsidRPr="00816DDD">
        <w:rPr>
          <w:rFonts w:eastAsia="+mn-ea"/>
          <w:kern w:val="24"/>
          <w:szCs w:val="24"/>
          <w:lang w:eastAsia="en-CA"/>
        </w:rPr>
        <w:t>-term relationship</w:t>
      </w:r>
      <w:r w:rsidRPr="00816DDD">
        <w:rPr>
          <w:rFonts w:eastAsia="+mn-ea"/>
          <w:kern w:val="24"/>
          <w:szCs w:val="24"/>
          <w:lang w:eastAsia="en-CA"/>
        </w:rPr>
        <w:t>s</w:t>
      </w:r>
      <w:r w:rsidR="00446424" w:rsidRPr="00816DDD">
        <w:rPr>
          <w:rFonts w:eastAsia="+mn-ea"/>
          <w:kern w:val="24"/>
          <w:szCs w:val="24"/>
          <w:lang w:eastAsia="en-CA"/>
        </w:rPr>
        <w:t xml:space="preserve"> with their clients.</w:t>
      </w:r>
      <w:r w:rsidR="00175A4A" w:rsidRPr="00816DDD">
        <w:rPr>
          <w:rFonts w:eastAsia="+mn-ea"/>
          <w:kern w:val="24"/>
          <w:szCs w:val="24"/>
          <w:lang w:eastAsia="en-CA"/>
        </w:rPr>
        <w:t xml:space="preserve"> </w:t>
      </w:r>
      <w:r w:rsidR="00570A3D" w:rsidRPr="00816DDD">
        <w:rPr>
          <w:rFonts w:eastAsia="+mn-ea"/>
          <w:kern w:val="24"/>
          <w:szCs w:val="24"/>
          <w:lang w:eastAsia="en-CA"/>
        </w:rPr>
        <w:t xml:space="preserve"> </w:t>
      </w:r>
      <w:r w:rsidR="00446424" w:rsidRPr="00816DDD">
        <w:rPr>
          <w:rFonts w:eastAsia="+mn-ea"/>
          <w:kern w:val="24"/>
          <w:szCs w:val="24"/>
          <w:lang w:eastAsia="en-CA"/>
        </w:rPr>
        <w:t xml:space="preserve">A mutual insurance company is </w:t>
      </w:r>
      <w:r w:rsidR="00142B1B">
        <w:rPr>
          <w:rFonts w:eastAsia="+mn-ea"/>
          <w:kern w:val="24"/>
          <w:szCs w:val="24"/>
          <w:lang w:eastAsia="en-CA"/>
        </w:rPr>
        <w:t xml:space="preserve">a </w:t>
      </w:r>
      <w:r w:rsidR="00446424" w:rsidRPr="00816DDD">
        <w:rPr>
          <w:rFonts w:eastAsia="+mn-ea"/>
          <w:kern w:val="24"/>
          <w:szCs w:val="24"/>
          <w:lang w:eastAsia="en-CA"/>
        </w:rPr>
        <w:t xml:space="preserve">consumer cooperative owned by its policyholders.  Any profits earned are passed on to the policyholders as dividends or a reduction of premiums.  Many mutuals </w:t>
      </w:r>
      <w:r w:rsidR="00570A3D" w:rsidRPr="00816DDD">
        <w:rPr>
          <w:rFonts w:eastAsia="+mn-ea"/>
          <w:kern w:val="24"/>
          <w:szCs w:val="24"/>
          <w:lang w:eastAsia="en-CA"/>
        </w:rPr>
        <w:t xml:space="preserve">have been </w:t>
      </w:r>
      <w:r w:rsidR="00446424" w:rsidRPr="00816DDD">
        <w:rPr>
          <w:rFonts w:eastAsia="+mn-ea"/>
          <w:kern w:val="24"/>
          <w:szCs w:val="24"/>
          <w:lang w:eastAsia="en-CA"/>
        </w:rPr>
        <w:t>converted to for-profit companies as part of a trend called demutualization.</w:t>
      </w:r>
    </w:p>
    <w:p w14:paraId="4D876E3F" w14:textId="77777777" w:rsidR="00446424" w:rsidRPr="00816DDD" w:rsidRDefault="00446424" w:rsidP="00DA4343">
      <w:pPr>
        <w:spacing w:after="0" w:line="240" w:lineRule="auto"/>
        <w:rPr>
          <w:rFonts w:eastAsia="+mn-ea"/>
          <w:kern w:val="24"/>
          <w:szCs w:val="24"/>
          <w:lang w:eastAsia="en-CA"/>
        </w:rPr>
      </w:pPr>
    </w:p>
    <w:p w14:paraId="4F408ADF" w14:textId="3A81FF31" w:rsidR="00A37632" w:rsidRPr="00816DDD" w:rsidRDefault="0033153B" w:rsidP="00DA4343">
      <w:pPr>
        <w:spacing w:after="0" w:line="240" w:lineRule="auto"/>
        <w:rPr>
          <w:rFonts w:eastAsia="+mn-ea"/>
          <w:kern w:val="24"/>
          <w:szCs w:val="24"/>
          <w:lang w:eastAsia="en-CA"/>
        </w:rPr>
      </w:pPr>
      <w:r w:rsidRPr="00816DDD">
        <w:rPr>
          <w:rFonts w:eastAsia="+mn-ea"/>
          <w:kern w:val="24"/>
          <w:szCs w:val="24"/>
          <w:lang w:eastAsia="en-CA"/>
        </w:rPr>
        <w:t>Business i</w:t>
      </w:r>
      <w:r w:rsidR="00DA4343" w:rsidRPr="00816DDD">
        <w:rPr>
          <w:rFonts w:eastAsia="+mn-ea"/>
          <w:kern w:val="24"/>
          <w:szCs w:val="24"/>
          <w:lang w:eastAsia="en-CA"/>
        </w:rPr>
        <w:t>n</w:t>
      </w:r>
      <w:r w:rsidR="00446424" w:rsidRPr="00816DDD">
        <w:rPr>
          <w:rFonts w:eastAsia="+mn-ea"/>
          <w:kern w:val="24"/>
          <w:szCs w:val="24"/>
          <w:lang w:eastAsia="en-CA"/>
        </w:rPr>
        <w:t>s</w:t>
      </w:r>
      <w:r w:rsidR="00DA4343" w:rsidRPr="00816DDD">
        <w:rPr>
          <w:rFonts w:eastAsia="+mn-ea"/>
          <w:kern w:val="24"/>
          <w:szCs w:val="24"/>
          <w:lang w:eastAsia="en-CA"/>
        </w:rPr>
        <w:t>urance can be</w:t>
      </w:r>
      <w:r w:rsidRPr="00816DDD">
        <w:rPr>
          <w:rFonts w:eastAsia="+mn-ea"/>
          <w:kern w:val="24"/>
          <w:szCs w:val="24"/>
          <w:lang w:eastAsia="en-CA"/>
        </w:rPr>
        <w:t xml:space="preserve"> purchased as separate policies </w:t>
      </w:r>
      <w:r w:rsidR="00FD6C74" w:rsidRPr="00816DDD">
        <w:rPr>
          <w:rFonts w:eastAsia="+mn-ea"/>
          <w:kern w:val="24"/>
          <w:szCs w:val="24"/>
          <w:lang w:eastAsia="en-CA"/>
        </w:rPr>
        <w:t xml:space="preserve">for each type of </w:t>
      </w:r>
      <w:r w:rsidR="00570A3D" w:rsidRPr="00816DDD">
        <w:rPr>
          <w:rFonts w:eastAsia="+mn-ea"/>
          <w:kern w:val="24"/>
          <w:szCs w:val="24"/>
          <w:lang w:eastAsia="en-CA"/>
        </w:rPr>
        <w:t>risk</w:t>
      </w:r>
      <w:r w:rsidR="00FD6C74" w:rsidRPr="00816DDD">
        <w:rPr>
          <w:rFonts w:eastAsia="+mn-ea"/>
          <w:kern w:val="24"/>
          <w:szCs w:val="24"/>
          <w:lang w:eastAsia="en-CA"/>
        </w:rPr>
        <w:t xml:space="preserve"> </w:t>
      </w:r>
      <w:r w:rsidRPr="00816DDD">
        <w:rPr>
          <w:rFonts w:eastAsia="+mn-ea"/>
          <w:kern w:val="24"/>
          <w:szCs w:val="24"/>
          <w:lang w:eastAsia="en-CA"/>
        </w:rPr>
        <w:t xml:space="preserve">or </w:t>
      </w:r>
      <w:r w:rsidR="00DA4343" w:rsidRPr="00816DDD">
        <w:rPr>
          <w:rFonts w:eastAsia="+mn-ea"/>
          <w:kern w:val="24"/>
          <w:szCs w:val="24"/>
          <w:lang w:eastAsia="en-CA"/>
        </w:rPr>
        <w:t>a</w:t>
      </w:r>
      <w:r w:rsidR="00FD6C74" w:rsidRPr="00816DDD">
        <w:rPr>
          <w:rFonts w:eastAsia="+mn-ea"/>
          <w:kern w:val="24"/>
          <w:szCs w:val="24"/>
          <w:lang w:eastAsia="en-CA"/>
        </w:rPr>
        <w:t>s</w:t>
      </w:r>
      <w:r w:rsidRPr="00816DDD">
        <w:rPr>
          <w:rFonts w:eastAsia="+mn-ea"/>
          <w:kern w:val="24"/>
          <w:szCs w:val="24"/>
          <w:lang w:eastAsia="en-CA"/>
        </w:rPr>
        <w:t xml:space="preserve"> </w:t>
      </w:r>
      <w:r w:rsidR="00FD6C74" w:rsidRPr="00816DDD">
        <w:rPr>
          <w:rFonts w:eastAsia="+mn-ea"/>
          <w:kern w:val="24"/>
          <w:szCs w:val="24"/>
          <w:lang w:eastAsia="en-CA"/>
        </w:rPr>
        <w:t xml:space="preserve">a </w:t>
      </w:r>
      <w:r w:rsidRPr="00816DDD">
        <w:rPr>
          <w:rFonts w:eastAsia="+mn-ea"/>
          <w:kern w:val="24"/>
          <w:szCs w:val="24"/>
          <w:lang w:eastAsia="en-CA"/>
        </w:rPr>
        <w:t xml:space="preserve">package catering to a particular </w:t>
      </w:r>
      <w:r w:rsidR="00570A3D" w:rsidRPr="00816DDD">
        <w:rPr>
          <w:rFonts w:eastAsia="+mn-ea"/>
          <w:kern w:val="24"/>
          <w:szCs w:val="24"/>
          <w:lang w:eastAsia="en-CA"/>
        </w:rPr>
        <w:t xml:space="preserve">category of </w:t>
      </w:r>
      <w:r w:rsidRPr="00816DDD">
        <w:rPr>
          <w:rFonts w:eastAsia="+mn-ea"/>
          <w:kern w:val="24"/>
          <w:szCs w:val="24"/>
          <w:lang w:eastAsia="en-CA"/>
        </w:rPr>
        <w:t xml:space="preserve">business.  Small businesses often buy a standard business owner’s policy (BOP) that provides basic coverage at a lower premium than if </w:t>
      </w:r>
      <w:r w:rsidR="00A37632" w:rsidRPr="00816DDD">
        <w:rPr>
          <w:rFonts w:eastAsia="+mn-ea"/>
          <w:kern w:val="24"/>
          <w:szCs w:val="24"/>
          <w:lang w:eastAsia="en-CA"/>
        </w:rPr>
        <w:t xml:space="preserve">the policies </w:t>
      </w:r>
      <w:r w:rsidR="00BE12AA" w:rsidRPr="00816DDD">
        <w:rPr>
          <w:rFonts w:eastAsia="+mn-ea"/>
          <w:kern w:val="24"/>
          <w:szCs w:val="24"/>
          <w:lang w:eastAsia="en-CA"/>
        </w:rPr>
        <w:t xml:space="preserve">were purchased </w:t>
      </w:r>
      <w:r w:rsidRPr="00816DDD">
        <w:rPr>
          <w:rFonts w:eastAsia="+mn-ea"/>
          <w:kern w:val="24"/>
          <w:szCs w:val="24"/>
          <w:lang w:eastAsia="en-CA"/>
        </w:rPr>
        <w:t>separat</w:t>
      </w:r>
      <w:r w:rsidR="00A37632" w:rsidRPr="00816DDD">
        <w:rPr>
          <w:rFonts w:eastAsia="+mn-ea"/>
          <w:kern w:val="24"/>
          <w:szCs w:val="24"/>
          <w:lang w:eastAsia="en-CA"/>
        </w:rPr>
        <w:t>ely</w:t>
      </w:r>
      <w:r w:rsidRPr="00816DDD">
        <w:rPr>
          <w:rFonts w:eastAsia="+mn-ea"/>
          <w:kern w:val="24"/>
          <w:szCs w:val="24"/>
          <w:lang w:eastAsia="en-CA"/>
        </w:rPr>
        <w:t xml:space="preserve">.  </w:t>
      </w:r>
      <w:r w:rsidR="00570A3D" w:rsidRPr="00816DDD">
        <w:rPr>
          <w:rFonts w:eastAsia="+mn-ea"/>
          <w:kern w:val="24"/>
          <w:szCs w:val="24"/>
          <w:lang w:eastAsia="en-CA"/>
        </w:rPr>
        <w:t xml:space="preserve">A </w:t>
      </w:r>
      <w:r w:rsidRPr="00816DDD">
        <w:rPr>
          <w:rFonts w:eastAsia="+mn-ea"/>
          <w:kern w:val="24"/>
          <w:szCs w:val="24"/>
          <w:lang w:eastAsia="en-CA"/>
        </w:rPr>
        <w:t>BOP may not cover all</w:t>
      </w:r>
      <w:r w:rsidR="00FD6C74" w:rsidRPr="00816DDD">
        <w:rPr>
          <w:rFonts w:eastAsia="+mn-ea"/>
          <w:kern w:val="24"/>
          <w:szCs w:val="24"/>
          <w:lang w:eastAsia="en-CA"/>
        </w:rPr>
        <w:t xml:space="preserve"> losses</w:t>
      </w:r>
      <w:r w:rsidRPr="00816DDD">
        <w:rPr>
          <w:rFonts w:eastAsia="+mn-ea"/>
          <w:kern w:val="24"/>
          <w:szCs w:val="24"/>
          <w:lang w:eastAsia="en-CA"/>
        </w:rPr>
        <w:t>, so</w:t>
      </w:r>
      <w:r w:rsidR="00570A3D" w:rsidRPr="00816DDD">
        <w:rPr>
          <w:rFonts w:eastAsia="+mn-ea"/>
          <w:kern w:val="24"/>
          <w:szCs w:val="24"/>
          <w:lang w:eastAsia="en-CA"/>
        </w:rPr>
        <w:t xml:space="preserve"> additional</w:t>
      </w:r>
      <w:r w:rsidRPr="00816DDD">
        <w:rPr>
          <w:rFonts w:eastAsia="+mn-ea"/>
          <w:kern w:val="24"/>
          <w:szCs w:val="24"/>
          <w:lang w:eastAsia="en-CA"/>
        </w:rPr>
        <w:t xml:space="preserve"> policies </w:t>
      </w:r>
      <w:r w:rsidR="00FD6C74" w:rsidRPr="00816DDD">
        <w:rPr>
          <w:rFonts w:eastAsia="+mn-ea"/>
          <w:kern w:val="24"/>
          <w:szCs w:val="24"/>
          <w:lang w:eastAsia="en-CA"/>
        </w:rPr>
        <w:t xml:space="preserve">may </w:t>
      </w:r>
      <w:r w:rsidR="00570A3D" w:rsidRPr="00816DDD">
        <w:rPr>
          <w:rFonts w:eastAsia="+mn-ea"/>
          <w:kern w:val="24"/>
          <w:szCs w:val="24"/>
          <w:lang w:eastAsia="en-CA"/>
        </w:rPr>
        <w:t>need</w:t>
      </w:r>
      <w:r w:rsidR="00FD6C74" w:rsidRPr="00816DDD">
        <w:rPr>
          <w:rFonts w:eastAsia="+mn-ea"/>
          <w:kern w:val="24"/>
          <w:szCs w:val="24"/>
          <w:lang w:eastAsia="en-CA"/>
        </w:rPr>
        <w:t xml:space="preserve"> to </w:t>
      </w:r>
      <w:r w:rsidR="00570A3D" w:rsidRPr="00816DDD">
        <w:rPr>
          <w:rFonts w:eastAsia="+mn-ea"/>
          <w:kern w:val="24"/>
          <w:szCs w:val="24"/>
          <w:lang w:eastAsia="en-CA"/>
        </w:rPr>
        <w:t xml:space="preserve">be </w:t>
      </w:r>
      <w:r w:rsidRPr="00816DDD">
        <w:rPr>
          <w:rFonts w:eastAsia="+mn-ea"/>
          <w:kern w:val="24"/>
          <w:szCs w:val="24"/>
          <w:lang w:eastAsia="en-CA"/>
        </w:rPr>
        <w:t>purchased.  Larger businesses can also</w:t>
      </w:r>
      <w:r w:rsidR="00FD6C74" w:rsidRPr="00816DDD">
        <w:rPr>
          <w:rFonts w:eastAsia="+mn-ea"/>
          <w:kern w:val="24"/>
          <w:szCs w:val="24"/>
          <w:lang w:eastAsia="en-CA"/>
        </w:rPr>
        <w:t xml:space="preserve"> buy </w:t>
      </w:r>
      <w:r w:rsidRPr="00816DDD">
        <w:rPr>
          <w:rFonts w:eastAsia="+mn-ea"/>
          <w:kern w:val="24"/>
          <w:szCs w:val="24"/>
          <w:lang w:eastAsia="en-CA"/>
        </w:rPr>
        <w:t>a</w:t>
      </w:r>
      <w:r w:rsidR="00570A3D" w:rsidRPr="00816DDD">
        <w:rPr>
          <w:rFonts w:eastAsia="+mn-ea"/>
          <w:kern w:val="24"/>
          <w:szCs w:val="24"/>
          <w:lang w:eastAsia="en-CA"/>
        </w:rPr>
        <w:t xml:space="preserve">n insurance </w:t>
      </w:r>
      <w:proofErr w:type="gramStart"/>
      <w:r w:rsidR="00FC29C9" w:rsidRPr="00816DDD">
        <w:rPr>
          <w:rFonts w:eastAsia="+mn-ea"/>
          <w:kern w:val="24"/>
          <w:szCs w:val="24"/>
          <w:lang w:eastAsia="en-CA"/>
        </w:rPr>
        <w:t>package</w:t>
      </w:r>
      <w:r w:rsidR="00FC29C9">
        <w:rPr>
          <w:rFonts w:eastAsia="+mn-ea"/>
          <w:kern w:val="24"/>
          <w:szCs w:val="24"/>
          <w:lang w:eastAsia="en-CA"/>
        </w:rPr>
        <w:t>, but</w:t>
      </w:r>
      <w:proofErr w:type="gramEnd"/>
      <w:r w:rsidRPr="00816DDD">
        <w:rPr>
          <w:rFonts w:eastAsia="+mn-ea"/>
          <w:kern w:val="24"/>
          <w:szCs w:val="24"/>
          <w:lang w:eastAsia="en-CA"/>
        </w:rPr>
        <w:t xml:space="preserve"> are more likely to customize it to meet their</w:t>
      </w:r>
      <w:r w:rsidR="00570A3D" w:rsidRPr="00816DDD">
        <w:rPr>
          <w:rFonts w:eastAsia="+mn-ea"/>
          <w:kern w:val="24"/>
          <w:szCs w:val="24"/>
          <w:lang w:eastAsia="en-CA"/>
        </w:rPr>
        <w:t xml:space="preserve"> unique </w:t>
      </w:r>
      <w:r w:rsidRPr="00816DDD">
        <w:rPr>
          <w:rFonts w:eastAsia="+mn-ea"/>
          <w:kern w:val="24"/>
          <w:szCs w:val="24"/>
          <w:lang w:eastAsia="en-CA"/>
        </w:rPr>
        <w:t>requirements.</w:t>
      </w:r>
      <w:r w:rsidR="00FD6C74" w:rsidRPr="00816DDD">
        <w:rPr>
          <w:rFonts w:eastAsia="+mn-ea"/>
          <w:kern w:val="24"/>
          <w:szCs w:val="24"/>
          <w:lang w:eastAsia="en-CA"/>
        </w:rPr>
        <w:t xml:space="preserve">  Co-insurance</w:t>
      </w:r>
      <w:r w:rsidR="00570A3D" w:rsidRPr="00816DDD">
        <w:rPr>
          <w:rFonts w:eastAsia="+mn-ea"/>
          <w:kern w:val="24"/>
          <w:szCs w:val="24"/>
          <w:lang w:eastAsia="en-CA"/>
        </w:rPr>
        <w:t xml:space="preserve"> is an insurance policy where </w:t>
      </w:r>
      <w:r w:rsidR="009E5E73">
        <w:rPr>
          <w:rFonts w:eastAsia="+mn-ea"/>
          <w:kern w:val="24"/>
          <w:szCs w:val="24"/>
          <w:lang w:eastAsia="en-CA"/>
        </w:rPr>
        <w:t>multiple insurers share coverage</w:t>
      </w:r>
      <w:r w:rsidR="00570A3D" w:rsidRPr="00816DDD">
        <w:rPr>
          <w:rFonts w:eastAsia="+mn-ea"/>
          <w:kern w:val="24"/>
          <w:szCs w:val="24"/>
          <w:lang w:eastAsia="en-CA"/>
        </w:rPr>
        <w:t>.  D</w:t>
      </w:r>
      <w:r w:rsidR="00FD6C74" w:rsidRPr="00816DDD">
        <w:rPr>
          <w:rFonts w:eastAsia="+mn-ea"/>
          <w:kern w:val="24"/>
          <w:szCs w:val="24"/>
          <w:lang w:eastAsia="en-CA"/>
        </w:rPr>
        <w:t>ual insurance</w:t>
      </w:r>
      <w:r w:rsidR="00570A3D" w:rsidRPr="00816DDD">
        <w:rPr>
          <w:rFonts w:eastAsia="+mn-ea"/>
          <w:kern w:val="24"/>
          <w:szCs w:val="24"/>
          <w:lang w:eastAsia="en-CA"/>
        </w:rPr>
        <w:t xml:space="preserve"> is when a company has two or more policies covering some of the same risks.  When this occurs, the insurance companies </w:t>
      </w:r>
      <w:r w:rsidR="009E5E73">
        <w:rPr>
          <w:rFonts w:eastAsia="+mn-ea"/>
          <w:kern w:val="24"/>
          <w:szCs w:val="24"/>
          <w:lang w:eastAsia="en-CA"/>
        </w:rPr>
        <w:t>typically</w:t>
      </w:r>
      <w:r w:rsidR="00570A3D" w:rsidRPr="00816DDD">
        <w:rPr>
          <w:rFonts w:eastAsia="+mn-ea"/>
          <w:kern w:val="24"/>
          <w:szCs w:val="24"/>
          <w:lang w:eastAsia="en-CA"/>
        </w:rPr>
        <w:t xml:space="preserve"> pay any damages jointly</w:t>
      </w:r>
      <w:r w:rsidR="00AA0B27">
        <w:rPr>
          <w:rFonts w:eastAsia="+mn-ea"/>
          <w:kern w:val="24"/>
          <w:szCs w:val="24"/>
          <w:lang w:eastAsia="en-CA"/>
        </w:rPr>
        <w:t>,</w:t>
      </w:r>
      <w:r w:rsidR="00570A3D" w:rsidRPr="00816DDD">
        <w:rPr>
          <w:rFonts w:eastAsia="+mn-ea"/>
          <w:kern w:val="24"/>
          <w:szCs w:val="24"/>
          <w:lang w:eastAsia="en-CA"/>
        </w:rPr>
        <w:t xml:space="preserve"> but can make dual payments in some cases</w:t>
      </w:r>
      <w:r w:rsidR="00AA0B27">
        <w:rPr>
          <w:rFonts w:eastAsia="+mn-ea"/>
          <w:kern w:val="24"/>
          <w:szCs w:val="24"/>
          <w:lang w:eastAsia="en-CA"/>
        </w:rPr>
        <w:t>,</w:t>
      </w:r>
      <w:r w:rsidR="00BE12AA" w:rsidRPr="00816DDD">
        <w:rPr>
          <w:rFonts w:eastAsia="+mn-ea"/>
          <w:kern w:val="24"/>
          <w:szCs w:val="24"/>
          <w:lang w:eastAsia="en-CA"/>
        </w:rPr>
        <w:t xml:space="preserve"> </w:t>
      </w:r>
      <w:r w:rsidR="00570A3D" w:rsidRPr="00816DDD">
        <w:rPr>
          <w:rFonts w:eastAsia="+mn-ea"/>
          <w:kern w:val="24"/>
          <w:szCs w:val="24"/>
          <w:lang w:eastAsia="en-CA"/>
        </w:rPr>
        <w:t>such as life insurance</w:t>
      </w:r>
      <w:r w:rsidR="00AA0B27">
        <w:rPr>
          <w:rFonts w:eastAsia="+mn-ea"/>
          <w:kern w:val="24"/>
          <w:szCs w:val="24"/>
          <w:lang w:eastAsia="en-CA"/>
        </w:rPr>
        <w:t>,</w:t>
      </w:r>
      <w:r w:rsidR="00570A3D" w:rsidRPr="00816DDD">
        <w:rPr>
          <w:rFonts w:eastAsia="+mn-ea"/>
          <w:kern w:val="24"/>
          <w:szCs w:val="24"/>
          <w:lang w:eastAsia="en-CA"/>
        </w:rPr>
        <w:t xml:space="preserve"> providing the policyholder with additional coverage.</w:t>
      </w:r>
    </w:p>
    <w:p w14:paraId="2F5A8297" w14:textId="77777777" w:rsidR="00A37632" w:rsidRPr="00816DDD" w:rsidRDefault="00A37632" w:rsidP="00DA4343">
      <w:pPr>
        <w:spacing w:after="0" w:line="240" w:lineRule="auto"/>
        <w:rPr>
          <w:rFonts w:eastAsia="+mn-ea"/>
          <w:kern w:val="24"/>
          <w:szCs w:val="24"/>
          <w:lang w:eastAsia="en-CA"/>
        </w:rPr>
      </w:pPr>
    </w:p>
    <w:p w14:paraId="70D7292A" w14:textId="387EF25A" w:rsidR="00570A3D" w:rsidRPr="00816DDD" w:rsidRDefault="00FD6C74" w:rsidP="00DA4343">
      <w:pPr>
        <w:spacing w:after="0" w:line="240" w:lineRule="auto"/>
        <w:rPr>
          <w:rFonts w:eastAsia="+mn-ea"/>
          <w:kern w:val="24"/>
          <w:szCs w:val="24"/>
          <w:lang w:eastAsia="en-CA"/>
        </w:rPr>
      </w:pPr>
      <w:r w:rsidRPr="00816DDD">
        <w:rPr>
          <w:rFonts w:eastAsia="+mn-ea"/>
          <w:kern w:val="24"/>
          <w:szCs w:val="24"/>
          <w:lang w:eastAsia="en-CA"/>
        </w:rPr>
        <w:t xml:space="preserve">Policies </w:t>
      </w:r>
      <w:r w:rsidR="00570A3D" w:rsidRPr="00816DDD">
        <w:rPr>
          <w:rFonts w:eastAsia="+mn-ea"/>
          <w:kern w:val="24"/>
          <w:szCs w:val="24"/>
          <w:lang w:eastAsia="en-CA"/>
        </w:rPr>
        <w:t xml:space="preserve">can be </w:t>
      </w:r>
      <w:r w:rsidRPr="00816DDD">
        <w:rPr>
          <w:rFonts w:eastAsia="+mn-ea"/>
          <w:kern w:val="24"/>
          <w:szCs w:val="24"/>
          <w:lang w:eastAsia="en-CA"/>
        </w:rPr>
        <w:t>written using a “named perils” format</w:t>
      </w:r>
      <w:r w:rsidR="00AA0B27">
        <w:rPr>
          <w:rFonts w:eastAsia="+mn-ea"/>
          <w:kern w:val="24"/>
          <w:szCs w:val="24"/>
          <w:lang w:eastAsia="en-CA"/>
        </w:rPr>
        <w:t>,</w:t>
      </w:r>
      <w:r w:rsidRPr="00816DDD">
        <w:rPr>
          <w:rFonts w:eastAsia="+mn-ea"/>
          <w:kern w:val="24"/>
          <w:szCs w:val="24"/>
          <w:lang w:eastAsia="en-CA"/>
        </w:rPr>
        <w:t xml:space="preserve"> where only the </w:t>
      </w:r>
      <w:r w:rsidR="0048711E" w:rsidRPr="00816DDD">
        <w:rPr>
          <w:rFonts w:eastAsia="+mn-ea"/>
          <w:kern w:val="24"/>
          <w:szCs w:val="24"/>
          <w:lang w:eastAsia="en-CA"/>
        </w:rPr>
        <w:t>risks</w:t>
      </w:r>
      <w:r w:rsidRPr="00816DDD">
        <w:rPr>
          <w:rFonts w:eastAsia="+mn-ea"/>
          <w:kern w:val="24"/>
          <w:szCs w:val="24"/>
          <w:lang w:eastAsia="en-CA"/>
        </w:rPr>
        <w:t xml:space="preserve"> listed are covered or a</w:t>
      </w:r>
      <w:r w:rsidR="00570A3D" w:rsidRPr="00816DDD">
        <w:rPr>
          <w:rFonts w:eastAsia="+mn-ea"/>
          <w:kern w:val="24"/>
          <w:szCs w:val="24"/>
          <w:lang w:eastAsia="en-CA"/>
        </w:rPr>
        <w:t>n</w:t>
      </w:r>
      <w:r w:rsidRPr="00816DDD">
        <w:rPr>
          <w:rFonts w:eastAsia="+mn-ea"/>
          <w:kern w:val="24"/>
          <w:szCs w:val="24"/>
          <w:lang w:eastAsia="en-CA"/>
        </w:rPr>
        <w:t xml:space="preserve"> “</w:t>
      </w:r>
      <w:r w:rsidR="00142B1B">
        <w:rPr>
          <w:rFonts w:eastAsia="+mn-ea"/>
          <w:kern w:val="24"/>
          <w:szCs w:val="24"/>
          <w:lang w:eastAsia="en-CA"/>
        </w:rPr>
        <w:t>all-risk</w:t>
      </w:r>
      <w:r w:rsidRPr="00816DDD">
        <w:rPr>
          <w:rFonts w:eastAsia="+mn-ea"/>
          <w:kern w:val="24"/>
          <w:szCs w:val="24"/>
          <w:lang w:eastAsia="en-CA"/>
        </w:rPr>
        <w:t>”</w:t>
      </w:r>
      <w:r w:rsidR="00570A3D" w:rsidRPr="00816DDD">
        <w:rPr>
          <w:rFonts w:eastAsia="+mn-ea"/>
          <w:kern w:val="24"/>
          <w:szCs w:val="24"/>
          <w:lang w:eastAsia="en-CA"/>
        </w:rPr>
        <w:t xml:space="preserve"> format</w:t>
      </w:r>
      <w:r w:rsidR="00AA0B27">
        <w:rPr>
          <w:rFonts w:eastAsia="+mn-ea"/>
          <w:kern w:val="24"/>
          <w:szCs w:val="24"/>
          <w:lang w:eastAsia="en-CA"/>
        </w:rPr>
        <w:t>,</w:t>
      </w:r>
      <w:r w:rsidRPr="00816DDD">
        <w:rPr>
          <w:rFonts w:eastAsia="+mn-ea"/>
          <w:kern w:val="24"/>
          <w:szCs w:val="24"/>
          <w:lang w:eastAsia="en-CA"/>
        </w:rPr>
        <w:t xml:space="preserve"> where all risks are covered except those specifically excluded.  Policyholders should carefully review their policies to ensure they </w:t>
      </w:r>
      <w:r w:rsidR="00570A3D" w:rsidRPr="00816DDD">
        <w:rPr>
          <w:rFonts w:eastAsia="+mn-ea"/>
          <w:kern w:val="24"/>
          <w:szCs w:val="24"/>
          <w:lang w:eastAsia="en-CA"/>
        </w:rPr>
        <w:t>meet their needs</w:t>
      </w:r>
      <w:r w:rsidRPr="00816DDD">
        <w:rPr>
          <w:rFonts w:eastAsia="+mn-ea"/>
          <w:kern w:val="24"/>
          <w:szCs w:val="24"/>
          <w:lang w:eastAsia="en-CA"/>
        </w:rPr>
        <w:t xml:space="preserve">.  </w:t>
      </w:r>
      <w:r w:rsidR="0048711E" w:rsidRPr="00816DDD">
        <w:rPr>
          <w:rFonts w:eastAsia="+mn-ea"/>
          <w:kern w:val="24"/>
          <w:szCs w:val="24"/>
          <w:lang w:eastAsia="en-CA"/>
        </w:rPr>
        <w:t xml:space="preserve">What </w:t>
      </w:r>
      <w:r w:rsidR="00570A3D" w:rsidRPr="00816DDD">
        <w:rPr>
          <w:rFonts w:eastAsia="+mn-ea"/>
          <w:kern w:val="24"/>
          <w:szCs w:val="24"/>
          <w:lang w:eastAsia="en-CA"/>
        </w:rPr>
        <w:t xml:space="preserve">risks are </w:t>
      </w:r>
      <w:r w:rsidR="0048711E" w:rsidRPr="00816DDD">
        <w:rPr>
          <w:rFonts w:eastAsia="+mn-ea"/>
          <w:kern w:val="24"/>
          <w:szCs w:val="24"/>
          <w:lang w:eastAsia="en-CA"/>
        </w:rPr>
        <w:t>covered?  W</w:t>
      </w:r>
      <w:r w:rsidR="00570A3D" w:rsidRPr="00816DDD">
        <w:rPr>
          <w:rFonts w:eastAsia="+mn-ea"/>
          <w:kern w:val="24"/>
          <w:szCs w:val="24"/>
          <w:lang w:eastAsia="en-CA"/>
        </w:rPr>
        <w:t>hich are</w:t>
      </w:r>
      <w:r w:rsidR="0048711E" w:rsidRPr="00816DDD">
        <w:rPr>
          <w:rFonts w:eastAsia="+mn-ea"/>
          <w:kern w:val="24"/>
          <w:szCs w:val="24"/>
          <w:lang w:eastAsia="en-CA"/>
        </w:rPr>
        <w:t xml:space="preserve"> excluded?</w:t>
      </w:r>
      <w:r w:rsidR="00570A3D" w:rsidRPr="00816DDD">
        <w:rPr>
          <w:rFonts w:eastAsia="+mn-ea"/>
          <w:kern w:val="24"/>
          <w:szCs w:val="24"/>
          <w:lang w:eastAsia="en-CA"/>
        </w:rPr>
        <w:t xml:space="preserve">  </w:t>
      </w:r>
      <w:r w:rsidR="0048711E" w:rsidRPr="00816DDD">
        <w:rPr>
          <w:rFonts w:eastAsia="+mn-ea"/>
          <w:kern w:val="24"/>
          <w:szCs w:val="24"/>
          <w:lang w:eastAsia="en-CA"/>
        </w:rPr>
        <w:t>Are any activities prohibited</w:t>
      </w:r>
      <w:r w:rsidR="00AA0B27">
        <w:rPr>
          <w:rFonts w:eastAsia="+mn-ea"/>
          <w:kern w:val="24"/>
          <w:szCs w:val="24"/>
          <w:lang w:eastAsia="en-CA"/>
        </w:rPr>
        <w:t>,</w:t>
      </w:r>
      <w:r w:rsidR="00570A3D" w:rsidRPr="00816DDD">
        <w:rPr>
          <w:rFonts w:eastAsia="+mn-ea"/>
          <w:kern w:val="24"/>
          <w:szCs w:val="24"/>
          <w:lang w:eastAsia="en-CA"/>
        </w:rPr>
        <w:t xml:space="preserve"> </w:t>
      </w:r>
      <w:r w:rsidR="00142B1B">
        <w:rPr>
          <w:rFonts w:eastAsia="+mn-ea"/>
          <w:kern w:val="24"/>
          <w:szCs w:val="24"/>
          <w:lang w:eastAsia="en-CA"/>
        </w:rPr>
        <w:t xml:space="preserve">thus </w:t>
      </w:r>
      <w:r w:rsidR="00570A3D" w:rsidRPr="00816DDD">
        <w:rPr>
          <w:rFonts w:eastAsia="+mn-ea"/>
          <w:kern w:val="24"/>
          <w:szCs w:val="24"/>
          <w:lang w:eastAsia="en-CA"/>
        </w:rPr>
        <w:t>negating coverage</w:t>
      </w:r>
      <w:r w:rsidR="0048711E" w:rsidRPr="00816DDD">
        <w:rPr>
          <w:rFonts w:eastAsia="+mn-ea"/>
          <w:kern w:val="24"/>
          <w:szCs w:val="24"/>
          <w:lang w:eastAsia="en-CA"/>
        </w:rPr>
        <w:t xml:space="preserve">?  </w:t>
      </w:r>
      <w:r w:rsidRPr="00816DDD">
        <w:rPr>
          <w:rFonts w:eastAsia="+mn-ea"/>
          <w:kern w:val="24"/>
          <w:szCs w:val="24"/>
          <w:lang w:eastAsia="en-CA"/>
        </w:rPr>
        <w:t>Are the</w:t>
      </w:r>
      <w:r w:rsidR="0048711E" w:rsidRPr="00816DDD">
        <w:rPr>
          <w:rFonts w:eastAsia="+mn-ea"/>
          <w:kern w:val="24"/>
          <w:szCs w:val="24"/>
          <w:lang w:eastAsia="en-CA"/>
        </w:rPr>
        <w:t xml:space="preserve"> coverage </w:t>
      </w:r>
      <w:r w:rsidRPr="00816DDD">
        <w:rPr>
          <w:rFonts w:eastAsia="+mn-ea"/>
          <w:kern w:val="24"/>
          <w:szCs w:val="24"/>
          <w:lang w:eastAsia="en-CA"/>
        </w:rPr>
        <w:t xml:space="preserve">limits adequate based on the value of </w:t>
      </w:r>
      <w:r w:rsidR="0048711E" w:rsidRPr="00816DDD">
        <w:rPr>
          <w:rFonts w:eastAsia="+mn-ea"/>
          <w:kern w:val="24"/>
          <w:szCs w:val="24"/>
          <w:lang w:eastAsia="en-CA"/>
        </w:rPr>
        <w:t xml:space="preserve">the </w:t>
      </w:r>
      <w:r w:rsidRPr="00816DDD">
        <w:rPr>
          <w:rFonts w:eastAsia="+mn-ea"/>
          <w:kern w:val="24"/>
          <w:szCs w:val="24"/>
          <w:lang w:eastAsia="en-CA"/>
        </w:rPr>
        <w:t xml:space="preserve">property, potential liability exposures, </w:t>
      </w:r>
      <w:r w:rsidR="0048711E" w:rsidRPr="00816DDD">
        <w:rPr>
          <w:rFonts w:eastAsia="+mn-ea"/>
          <w:kern w:val="24"/>
          <w:szCs w:val="24"/>
          <w:lang w:eastAsia="en-CA"/>
        </w:rPr>
        <w:t>or</w:t>
      </w:r>
      <w:r w:rsidRPr="00816DDD">
        <w:rPr>
          <w:rFonts w:eastAsia="+mn-ea"/>
          <w:kern w:val="24"/>
          <w:szCs w:val="24"/>
          <w:lang w:eastAsia="en-CA"/>
        </w:rPr>
        <w:t xml:space="preserve"> previous losses?  </w:t>
      </w:r>
      <w:r w:rsidR="0048711E" w:rsidRPr="00816DDD">
        <w:rPr>
          <w:rFonts w:eastAsia="+mn-ea"/>
          <w:kern w:val="24"/>
          <w:szCs w:val="24"/>
          <w:lang w:eastAsia="en-CA"/>
        </w:rPr>
        <w:t xml:space="preserve">What are the premiums? </w:t>
      </w:r>
      <w:r w:rsidR="00570A3D" w:rsidRPr="00816DDD">
        <w:rPr>
          <w:rFonts w:eastAsia="+mn-ea"/>
          <w:kern w:val="24"/>
          <w:szCs w:val="24"/>
          <w:lang w:eastAsia="en-CA"/>
        </w:rPr>
        <w:t xml:space="preserve"> Are there</w:t>
      </w:r>
      <w:r w:rsidR="0048711E" w:rsidRPr="00816DDD">
        <w:rPr>
          <w:rFonts w:eastAsia="+mn-ea"/>
          <w:kern w:val="24"/>
          <w:szCs w:val="24"/>
          <w:lang w:eastAsia="en-CA"/>
        </w:rPr>
        <w:t xml:space="preserve"> </w:t>
      </w:r>
      <w:r w:rsidR="00570A3D" w:rsidRPr="00816DDD">
        <w:rPr>
          <w:rFonts w:eastAsia="+mn-ea"/>
          <w:kern w:val="24"/>
          <w:szCs w:val="24"/>
          <w:lang w:eastAsia="en-CA"/>
        </w:rPr>
        <w:t xml:space="preserve">mitigating </w:t>
      </w:r>
      <w:r w:rsidR="0048711E" w:rsidRPr="00816DDD">
        <w:rPr>
          <w:rFonts w:eastAsia="+mn-ea"/>
          <w:kern w:val="24"/>
          <w:szCs w:val="24"/>
          <w:lang w:eastAsia="en-CA"/>
        </w:rPr>
        <w:t xml:space="preserve">actions </w:t>
      </w:r>
      <w:r w:rsidR="00570A3D" w:rsidRPr="00816DDD">
        <w:rPr>
          <w:rFonts w:eastAsia="+mn-ea"/>
          <w:kern w:val="24"/>
          <w:szCs w:val="24"/>
          <w:lang w:eastAsia="en-CA"/>
        </w:rPr>
        <w:t xml:space="preserve">that </w:t>
      </w:r>
      <w:r w:rsidR="0048711E" w:rsidRPr="00816DDD">
        <w:rPr>
          <w:rFonts w:eastAsia="+mn-ea"/>
          <w:kern w:val="24"/>
          <w:szCs w:val="24"/>
          <w:lang w:eastAsia="en-CA"/>
        </w:rPr>
        <w:t xml:space="preserve">can be taken to reduce premiums?  </w:t>
      </w:r>
      <w:r w:rsidR="00570A3D" w:rsidRPr="00816DDD">
        <w:rPr>
          <w:rFonts w:eastAsia="+mn-ea"/>
          <w:kern w:val="24"/>
          <w:szCs w:val="24"/>
          <w:lang w:eastAsia="en-CA"/>
        </w:rPr>
        <w:t xml:space="preserve">How high are the </w:t>
      </w:r>
      <w:r w:rsidRPr="00816DDD">
        <w:rPr>
          <w:rFonts w:eastAsia="+mn-ea"/>
          <w:kern w:val="24"/>
          <w:szCs w:val="24"/>
          <w:lang w:eastAsia="en-CA"/>
        </w:rPr>
        <w:t>deductible</w:t>
      </w:r>
      <w:r w:rsidR="00570A3D" w:rsidRPr="00816DDD">
        <w:rPr>
          <w:rFonts w:eastAsia="+mn-ea"/>
          <w:kern w:val="24"/>
          <w:szCs w:val="24"/>
          <w:lang w:eastAsia="en-CA"/>
        </w:rPr>
        <w:t>s</w:t>
      </w:r>
      <w:r w:rsidRPr="00816DDD">
        <w:rPr>
          <w:rFonts w:eastAsia="+mn-ea"/>
          <w:kern w:val="24"/>
          <w:szCs w:val="24"/>
          <w:lang w:eastAsia="en-CA"/>
        </w:rPr>
        <w:t xml:space="preserve">?  </w:t>
      </w:r>
      <w:r w:rsidR="0048711E" w:rsidRPr="00816DDD">
        <w:rPr>
          <w:rFonts w:eastAsia="+mn-ea"/>
          <w:kern w:val="24"/>
          <w:szCs w:val="24"/>
          <w:lang w:eastAsia="en-CA"/>
        </w:rPr>
        <w:t>Are they adjustable</w:t>
      </w:r>
      <w:r w:rsidR="00AA0B27">
        <w:rPr>
          <w:rFonts w:eastAsia="+mn-ea"/>
          <w:kern w:val="24"/>
          <w:szCs w:val="24"/>
          <w:lang w:eastAsia="en-CA"/>
        </w:rPr>
        <w:t>,</w:t>
      </w:r>
      <w:r w:rsidR="0048711E" w:rsidRPr="00816DDD">
        <w:rPr>
          <w:rFonts w:eastAsia="+mn-ea"/>
          <w:kern w:val="24"/>
          <w:szCs w:val="24"/>
          <w:lang w:eastAsia="en-CA"/>
        </w:rPr>
        <w:t xml:space="preserve"> or are they set by the provider?  </w:t>
      </w:r>
    </w:p>
    <w:p w14:paraId="54E1CE5C" w14:textId="77777777" w:rsidR="00570A3D" w:rsidRPr="00816DDD" w:rsidRDefault="00570A3D" w:rsidP="00DA4343">
      <w:pPr>
        <w:spacing w:after="0" w:line="240" w:lineRule="auto"/>
        <w:rPr>
          <w:rFonts w:eastAsia="+mn-ea"/>
          <w:kern w:val="24"/>
          <w:szCs w:val="24"/>
          <w:lang w:eastAsia="en-CA"/>
        </w:rPr>
      </w:pPr>
    </w:p>
    <w:p w14:paraId="1AFDFBE0" w14:textId="3D54661F" w:rsidR="0058265B" w:rsidRPr="00816DDD" w:rsidRDefault="00FD6C74" w:rsidP="00DA4343">
      <w:pPr>
        <w:spacing w:after="0" w:line="240" w:lineRule="auto"/>
        <w:rPr>
          <w:rFonts w:eastAsia="+mn-ea"/>
          <w:kern w:val="24"/>
          <w:szCs w:val="24"/>
          <w:lang w:eastAsia="en-CA"/>
        </w:rPr>
      </w:pPr>
      <w:r w:rsidRPr="00816DDD">
        <w:rPr>
          <w:rFonts w:eastAsia="+mn-ea"/>
          <w:kern w:val="24"/>
          <w:szCs w:val="24"/>
          <w:lang w:eastAsia="en-CA"/>
        </w:rPr>
        <w:t>A business will likely need help answering these questions and should seek expert advice.</w:t>
      </w:r>
      <w:r w:rsidR="0048711E" w:rsidRPr="00816DDD">
        <w:rPr>
          <w:rFonts w:eastAsia="+mn-ea"/>
          <w:kern w:val="24"/>
          <w:szCs w:val="24"/>
          <w:lang w:eastAsia="en-CA"/>
        </w:rPr>
        <w:t xml:space="preserve">  Business insurance is sold through agents representing one insurance company and brokers representing multiple companies.  Both agents and brokers counsel clients on their insurance needs and </w:t>
      </w:r>
      <w:r w:rsidR="00570A3D" w:rsidRPr="00816DDD">
        <w:rPr>
          <w:rFonts w:eastAsia="+mn-ea"/>
          <w:kern w:val="24"/>
          <w:szCs w:val="24"/>
          <w:lang w:eastAsia="en-CA"/>
        </w:rPr>
        <w:t xml:space="preserve">recommend the </w:t>
      </w:r>
      <w:r w:rsidR="0048711E" w:rsidRPr="00816DDD">
        <w:rPr>
          <w:rFonts w:eastAsia="+mn-ea"/>
          <w:kern w:val="24"/>
          <w:szCs w:val="24"/>
          <w:lang w:eastAsia="en-CA"/>
        </w:rPr>
        <w:t xml:space="preserve">products they should buy, but they are paid </w:t>
      </w:r>
      <w:proofErr w:type="gramStart"/>
      <w:r w:rsidR="00570A3D" w:rsidRPr="00816DDD">
        <w:rPr>
          <w:rFonts w:eastAsia="+mn-ea"/>
          <w:kern w:val="24"/>
          <w:szCs w:val="24"/>
          <w:lang w:eastAsia="en-CA"/>
        </w:rPr>
        <w:t xml:space="preserve">on </w:t>
      </w:r>
      <w:r w:rsidR="0048711E" w:rsidRPr="00816DDD">
        <w:rPr>
          <w:rFonts w:eastAsia="+mn-ea"/>
          <w:kern w:val="24"/>
          <w:szCs w:val="24"/>
          <w:lang w:eastAsia="en-CA"/>
        </w:rPr>
        <w:t>commission</w:t>
      </w:r>
      <w:proofErr w:type="gramEnd"/>
      <w:r w:rsidR="00570A3D" w:rsidRPr="00816DDD">
        <w:rPr>
          <w:rFonts w:eastAsia="+mn-ea"/>
          <w:kern w:val="24"/>
          <w:szCs w:val="24"/>
          <w:lang w:eastAsia="en-CA"/>
        </w:rPr>
        <w:t xml:space="preserve"> by the insur</w:t>
      </w:r>
      <w:r w:rsidR="00BE12AA" w:rsidRPr="00816DDD">
        <w:rPr>
          <w:rFonts w:eastAsia="+mn-ea"/>
          <w:kern w:val="24"/>
          <w:szCs w:val="24"/>
          <w:lang w:eastAsia="en-CA"/>
        </w:rPr>
        <w:t>er</w:t>
      </w:r>
      <w:r w:rsidR="00AA0B27">
        <w:rPr>
          <w:rFonts w:eastAsia="+mn-ea"/>
          <w:kern w:val="24"/>
          <w:szCs w:val="24"/>
          <w:lang w:eastAsia="en-CA"/>
        </w:rPr>
        <w:t>,</w:t>
      </w:r>
      <w:r w:rsidR="00570A3D" w:rsidRPr="00816DDD">
        <w:rPr>
          <w:rFonts w:eastAsia="+mn-ea"/>
          <w:kern w:val="24"/>
          <w:szCs w:val="24"/>
          <w:lang w:eastAsia="en-CA"/>
        </w:rPr>
        <w:t xml:space="preserve"> </w:t>
      </w:r>
      <w:r w:rsidR="0048711E" w:rsidRPr="00816DDD">
        <w:rPr>
          <w:rFonts w:eastAsia="+mn-ea"/>
          <w:kern w:val="24"/>
          <w:szCs w:val="24"/>
          <w:lang w:eastAsia="en-CA"/>
        </w:rPr>
        <w:t xml:space="preserve">creating a conflict of interest.  Insurance brokers have </w:t>
      </w:r>
      <w:r w:rsidR="00570A3D" w:rsidRPr="00816DDD">
        <w:rPr>
          <w:rFonts w:eastAsia="+mn-ea"/>
          <w:kern w:val="24"/>
          <w:szCs w:val="24"/>
          <w:lang w:eastAsia="en-CA"/>
        </w:rPr>
        <w:t xml:space="preserve">fewer </w:t>
      </w:r>
      <w:r w:rsidR="0048711E" w:rsidRPr="00816DDD">
        <w:rPr>
          <w:rFonts w:eastAsia="+mn-ea"/>
          <w:kern w:val="24"/>
          <w:szCs w:val="24"/>
          <w:lang w:eastAsia="en-CA"/>
        </w:rPr>
        <w:t>conflict</w:t>
      </w:r>
      <w:r w:rsidR="00570A3D" w:rsidRPr="00816DDD">
        <w:rPr>
          <w:rFonts w:eastAsia="+mn-ea"/>
          <w:kern w:val="24"/>
          <w:szCs w:val="24"/>
          <w:lang w:eastAsia="en-CA"/>
        </w:rPr>
        <w:t>s</w:t>
      </w:r>
      <w:r w:rsidR="0048711E" w:rsidRPr="00816DDD">
        <w:rPr>
          <w:rFonts w:eastAsia="+mn-ea"/>
          <w:kern w:val="24"/>
          <w:szCs w:val="24"/>
          <w:lang w:eastAsia="en-CA"/>
        </w:rPr>
        <w:t xml:space="preserve"> as they represent </w:t>
      </w:r>
      <w:r w:rsidR="0048711E" w:rsidRPr="00816DDD">
        <w:rPr>
          <w:rFonts w:eastAsia="+mn-ea"/>
          <w:kern w:val="24"/>
          <w:szCs w:val="24"/>
          <w:lang w:eastAsia="en-CA"/>
        </w:rPr>
        <w:lastRenderedPageBreak/>
        <w:t>multiple insurance providers and can search the market for the best coverage and premium</w:t>
      </w:r>
      <w:r w:rsidR="00570A3D" w:rsidRPr="00816DDD">
        <w:rPr>
          <w:rFonts w:eastAsia="+mn-ea"/>
          <w:kern w:val="24"/>
          <w:szCs w:val="24"/>
          <w:lang w:eastAsia="en-CA"/>
        </w:rPr>
        <w:t>s</w:t>
      </w:r>
      <w:r w:rsidR="0048711E" w:rsidRPr="00816DDD">
        <w:rPr>
          <w:rFonts w:eastAsia="+mn-ea"/>
          <w:kern w:val="24"/>
          <w:szCs w:val="24"/>
          <w:lang w:eastAsia="en-CA"/>
        </w:rPr>
        <w:t>.  More businesses are retaining independent insurance consultants to advise clients on how to best meet their insurance needs</w:t>
      </w:r>
      <w:r w:rsidR="00570A3D" w:rsidRPr="00816DDD">
        <w:rPr>
          <w:rFonts w:eastAsia="+mn-ea"/>
          <w:kern w:val="24"/>
          <w:szCs w:val="24"/>
          <w:lang w:eastAsia="en-CA"/>
        </w:rPr>
        <w:t>.  They work on a fee-for-service basis, not a commission, and negotiate with the insurance providers for the client.</w:t>
      </w:r>
    </w:p>
    <w:p w14:paraId="1C7777B9" w14:textId="77777777" w:rsidR="00902A40" w:rsidRPr="00816DDD" w:rsidRDefault="00902A40" w:rsidP="000E660D">
      <w:pPr>
        <w:spacing w:after="0" w:line="240" w:lineRule="auto"/>
        <w:rPr>
          <w:rFonts w:eastAsia="+mn-ea"/>
          <w:kern w:val="24"/>
          <w:szCs w:val="24"/>
          <w:lang w:eastAsia="en-CA"/>
        </w:rPr>
      </w:pPr>
    </w:p>
    <w:p w14:paraId="06C2E2DA" w14:textId="60F37DDF" w:rsidR="00570A3D" w:rsidRPr="00816DDD" w:rsidRDefault="00570A3D" w:rsidP="000E660D">
      <w:pPr>
        <w:spacing w:after="0" w:line="240" w:lineRule="auto"/>
        <w:rPr>
          <w:rFonts w:eastAsia="+mn-ea"/>
          <w:b/>
          <w:bCs/>
          <w:kern w:val="24"/>
          <w:szCs w:val="24"/>
          <w:lang w:eastAsia="en-CA"/>
        </w:rPr>
      </w:pPr>
      <w:r w:rsidRPr="00816DDD">
        <w:rPr>
          <w:rFonts w:eastAsia="+mn-ea"/>
          <w:b/>
          <w:bCs/>
          <w:kern w:val="24"/>
          <w:szCs w:val="24"/>
          <w:lang w:eastAsia="en-CA"/>
        </w:rPr>
        <w:t>Types of Business Insurance</w:t>
      </w:r>
    </w:p>
    <w:p w14:paraId="6656BAE7" w14:textId="77777777" w:rsidR="0048711E" w:rsidRPr="00816DDD" w:rsidRDefault="0048711E" w:rsidP="000E660D">
      <w:pPr>
        <w:spacing w:after="0" w:line="240" w:lineRule="auto"/>
        <w:rPr>
          <w:rFonts w:eastAsia="+mn-ea"/>
          <w:kern w:val="24"/>
          <w:szCs w:val="24"/>
          <w:lang w:eastAsia="en-CA"/>
        </w:rPr>
      </w:pPr>
    </w:p>
    <w:p w14:paraId="107214F3" w14:textId="417344C5" w:rsidR="00024B00" w:rsidRDefault="00902A40" w:rsidP="00EB58A6">
      <w:pPr>
        <w:spacing w:after="0" w:line="240" w:lineRule="auto"/>
        <w:ind w:left="360"/>
        <w:rPr>
          <w:rFonts w:eastAsia="+mn-ea"/>
          <w:kern w:val="24"/>
          <w:szCs w:val="24"/>
          <w:lang w:eastAsia="en-CA"/>
        </w:rPr>
      </w:pPr>
      <w:r w:rsidRPr="00816DDD">
        <w:rPr>
          <w:rFonts w:eastAsia="+mn-ea" w:hint="cs"/>
          <w:b/>
          <w:bCs/>
          <w:kern w:val="24"/>
          <w:szCs w:val="24"/>
          <w:lang w:eastAsia="en-CA"/>
        </w:rPr>
        <w:t>Property insurance</w:t>
      </w:r>
      <w:r w:rsidR="00F07F02" w:rsidRPr="00816DDD">
        <w:rPr>
          <w:rFonts w:eastAsia="+mn-ea"/>
          <w:b/>
          <w:bCs/>
          <w:kern w:val="24"/>
          <w:szCs w:val="24"/>
          <w:lang w:eastAsia="en-CA"/>
        </w:rPr>
        <w:t>.</w:t>
      </w:r>
      <w:r w:rsidR="00F07F02" w:rsidRPr="00816DDD">
        <w:rPr>
          <w:rFonts w:eastAsia="+mn-ea"/>
          <w:kern w:val="24"/>
          <w:szCs w:val="24"/>
          <w:lang w:eastAsia="en-CA"/>
        </w:rPr>
        <w:t xml:space="preserve">  </w:t>
      </w:r>
      <w:r w:rsidR="004F4881" w:rsidRPr="00816DDD">
        <w:rPr>
          <w:rFonts w:eastAsia="+mn-ea"/>
          <w:kern w:val="24"/>
          <w:szCs w:val="24"/>
          <w:lang w:eastAsia="en-CA"/>
        </w:rPr>
        <w:t>C</w:t>
      </w:r>
      <w:r w:rsidR="003B2FBB" w:rsidRPr="00816DDD">
        <w:rPr>
          <w:rFonts w:eastAsia="+mn-ea"/>
          <w:kern w:val="24"/>
          <w:szCs w:val="24"/>
          <w:lang w:eastAsia="en-CA"/>
        </w:rPr>
        <w:t>over</w:t>
      </w:r>
      <w:r w:rsidR="004F4881" w:rsidRPr="00816DDD">
        <w:rPr>
          <w:rFonts w:eastAsia="+mn-ea"/>
          <w:kern w:val="24"/>
          <w:szCs w:val="24"/>
          <w:lang w:eastAsia="en-CA"/>
        </w:rPr>
        <w:t>s</w:t>
      </w:r>
      <w:r w:rsidR="00561078" w:rsidRPr="00816DDD">
        <w:rPr>
          <w:rFonts w:eastAsia="+mn-ea"/>
          <w:kern w:val="24"/>
          <w:szCs w:val="24"/>
          <w:lang w:eastAsia="en-CA"/>
        </w:rPr>
        <w:t xml:space="preserve"> </w:t>
      </w:r>
      <w:r w:rsidR="0033153B" w:rsidRPr="00816DDD">
        <w:rPr>
          <w:rFonts w:eastAsia="+mn-ea"/>
          <w:kern w:val="24"/>
          <w:szCs w:val="24"/>
          <w:lang w:eastAsia="en-CA"/>
        </w:rPr>
        <w:t xml:space="preserve">property-related </w:t>
      </w:r>
      <w:r w:rsidR="00F07F02" w:rsidRPr="00816DDD">
        <w:rPr>
          <w:rFonts w:eastAsia="+mn-ea"/>
          <w:kern w:val="24"/>
          <w:szCs w:val="24"/>
          <w:lang w:eastAsia="en-CA"/>
        </w:rPr>
        <w:t>l</w:t>
      </w:r>
      <w:r w:rsidR="00751BCA" w:rsidRPr="00816DDD">
        <w:rPr>
          <w:rFonts w:eastAsia="+mn-ea" w:hint="cs"/>
          <w:kern w:val="24"/>
          <w:szCs w:val="24"/>
          <w:lang w:eastAsia="en-CA"/>
        </w:rPr>
        <w:t>osses</w:t>
      </w:r>
      <w:r w:rsidR="003B2FBB" w:rsidRPr="00816DDD">
        <w:rPr>
          <w:rFonts w:eastAsia="+mn-ea"/>
          <w:kern w:val="24"/>
          <w:szCs w:val="24"/>
          <w:lang w:eastAsia="en-CA"/>
        </w:rPr>
        <w:t xml:space="preserve"> from</w:t>
      </w:r>
      <w:r w:rsidR="00751BCA" w:rsidRPr="00816DDD">
        <w:rPr>
          <w:rFonts w:eastAsia="+mn-ea" w:hint="cs"/>
          <w:kern w:val="24"/>
          <w:szCs w:val="24"/>
          <w:lang w:eastAsia="en-CA"/>
        </w:rPr>
        <w:t xml:space="preserve"> </w:t>
      </w:r>
      <w:r w:rsidR="00F07F02" w:rsidRPr="00816DDD">
        <w:rPr>
          <w:rFonts w:eastAsia="+mn-ea"/>
          <w:kern w:val="24"/>
          <w:szCs w:val="24"/>
          <w:lang w:eastAsia="en-CA"/>
        </w:rPr>
        <w:t xml:space="preserve">fire, </w:t>
      </w:r>
      <w:r w:rsidR="003B2FBB" w:rsidRPr="00816DDD">
        <w:rPr>
          <w:rFonts w:eastAsia="+mn-ea"/>
          <w:kern w:val="24"/>
          <w:szCs w:val="24"/>
          <w:lang w:eastAsia="en-CA"/>
        </w:rPr>
        <w:t xml:space="preserve">theft, </w:t>
      </w:r>
      <w:r w:rsidR="005B2586" w:rsidRPr="00816DDD">
        <w:rPr>
          <w:rFonts w:eastAsia="+mn-ea"/>
          <w:kern w:val="24"/>
          <w:szCs w:val="24"/>
          <w:lang w:eastAsia="en-CA"/>
        </w:rPr>
        <w:t xml:space="preserve">vandalism, </w:t>
      </w:r>
      <w:r w:rsidR="003B2FBB" w:rsidRPr="00816DDD">
        <w:rPr>
          <w:rFonts w:eastAsia="+mn-ea"/>
          <w:kern w:val="24"/>
          <w:szCs w:val="24"/>
          <w:lang w:eastAsia="en-CA"/>
        </w:rPr>
        <w:t xml:space="preserve">employee embezzlement, patent or copyright infringement, data </w:t>
      </w:r>
      <w:r w:rsidR="00142B1B">
        <w:rPr>
          <w:rFonts w:eastAsia="+mn-ea"/>
          <w:kern w:val="24"/>
          <w:szCs w:val="24"/>
          <w:lang w:eastAsia="en-CA"/>
        </w:rPr>
        <w:t>breaches</w:t>
      </w:r>
      <w:r w:rsidR="003B2FBB" w:rsidRPr="00816DDD">
        <w:rPr>
          <w:rFonts w:eastAsia="+mn-ea"/>
          <w:kern w:val="24"/>
          <w:szCs w:val="24"/>
          <w:lang w:eastAsia="en-CA"/>
        </w:rPr>
        <w:t xml:space="preserve">, </w:t>
      </w:r>
      <w:r w:rsidR="00142B1B">
        <w:rPr>
          <w:rFonts w:eastAsia="+mn-ea"/>
          <w:kern w:val="24"/>
          <w:szCs w:val="24"/>
          <w:lang w:eastAsia="en-CA"/>
        </w:rPr>
        <w:t>identity</w:t>
      </w:r>
      <w:r w:rsidR="003B2FBB" w:rsidRPr="00816DDD">
        <w:rPr>
          <w:rFonts w:eastAsia="+mn-ea"/>
          <w:kern w:val="24"/>
          <w:szCs w:val="24"/>
          <w:lang w:eastAsia="en-CA"/>
        </w:rPr>
        <w:t xml:space="preserve"> </w:t>
      </w:r>
      <w:r w:rsidR="003B2FBB" w:rsidRPr="00816DDD">
        <w:rPr>
          <w:rFonts w:eastAsia="+mn-ea" w:hint="cs"/>
          <w:kern w:val="24"/>
          <w:szCs w:val="24"/>
          <w:lang w:eastAsia="en-CA"/>
        </w:rPr>
        <w:t xml:space="preserve">theft, </w:t>
      </w:r>
      <w:r w:rsidR="003B2FBB" w:rsidRPr="00816DDD">
        <w:rPr>
          <w:rFonts w:eastAsia="+mn-ea"/>
          <w:kern w:val="24"/>
          <w:szCs w:val="24"/>
          <w:lang w:eastAsia="en-CA"/>
        </w:rPr>
        <w:t xml:space="preserve">and </w:t>
      </w:r>
      <w:r w:rsidR="00F07F02" w:rsidRPr="00816DDD">
        <w:rPr>
          <w:rFonts w:eastAsia="+mn-ea"/>
          <w:kern w:val="24"/>
          <w:szCs w:val="24"/>
          <w:lang w:eastAsia="en-CA"/>
        </w:rPr>
        <w:t>weather</w:t>
      </w:r>
      <w:r w:rsidR="003B2FBB" w:rsidRPr="00816DDD">
        <w:rPr>
          <w:rFonts w:eastAsia="+mn-ea"/>
          <w:kern w:val="24"/>
          <w:szCs w:val="24"/>
          <w:lang w:eastAsia="en-CA"/>
        </w:rPr>
        <w:t>-</w:t>
      </w:r>
      <w:r w:rsidR="0058265B" w:rsidRPr="00816DDD">
        <w:rPr>
          <w:rFonts w:eastAsia="+mn-ea"/>
          <w:kern w:val="24"/>
          <w:szCs w:val="24"/>
          <w:lang w:eastAsia="en-CA"/>
        </w:rPr>
        <w:t xml:space="preserve">related </w:t>
      </w:r>
      <w:r w:rsidR="00F07F02" w:rsidRPr="00816DDD">
        <w:rPr>
          <w:rFonts w:eastAsia="+mn-ea"/>
          <w:kern w:val="24"/>
          <w:szCs w:val="24"/>
          <w:lang w:eastAsia="en-CA"/>
        </w:rPr>
        <w:t>damage</w:t>
      </w:r>
      <w:r w:rsidR="003B2FBB" w:rsidRPr="00816DDD">
        <w:rPr>
          <w:rFonts w:eastAsia="+mn-ea"/>
          <w:kern w:val="24"/>
          <w:szCs w:val="24"/>
          <w:lang w:eastAsia="en-CA"/>
        </w:rPr>
        <w:t>s such as windstorms, floods, lightning, and other natural perils</w:t>
      </w:r>
      <w:r w:rsidR="00F07F02" w:rsidRPr="00816DDD">
        <w:rPr>
          <w:rFonts w:eastAsia="+mn-ea"/>
          <w:kern w:val="24"/>
          <w:szCs w:val="24"/>
          <w:lang w:eastAsia="en-CA"/>
        </w:rPr>
        <w:t xml:space="preserve">.  </w:t>
      </w:r>
      <w:r w:rsidR="0033153B" w:rsidRPr="00816DDD">
        <w:rPr>
          <w:rFonts w:eastAsia="+mn-ea"/>
          <w:kern w:val="24"/>
          <w:szCs w:val="24"/>
          <w:lang w:eastAsia="en-CA"/>
        </w:rPr>
        <w:t xml:space="preserve">Property insurance covers not only a building or structure but </w:t>
      </w:r>
      <w:r w:rsidR="00AA0B27">
        <w:rPr>
          <w:rFonts w:eastAsia="+mn-ea"/>
          <w:kern w:val="24"/>
          <w:szCs w:val="24"/>
          <w:lang w:eastAsia="en-CA"/>
        </w:rPr>
        <w:t xml:space="preserve">also </w:t>
      </w:r>
      <w:r w:rsidR="006307B3" w:rsidRPr="00816DDD">
        <w:rPr>
          <w:rFonts w:eastAsia="+mn-ea"/>
          <w:kern w:val="24"/>
          <w:szCs w:val="24"/>
          <w:lang w:eastAsia="en-CA"/>
        </w:rPr>
        <w:t>its</w:t>
      </w:r>
      <w:r w:rsidR="0033153B" w:rsidRPr="00816DDD">
        <w:rPr>
          <w:rFonts w:eastAsia="+mn-ea"/>
          <w:kern w:val="24"/>
          <w:szCs w:val="24"/>
          <w:lang w:eastAsia="en-CA"/>
        </w:rPr>
        <w:t xml:space="preserve"> contents</w:t>
      </w:r>
      <w:r w:rsidR="00AA0B27">
        <w:rPr>
          <w:rFonts w:eastAsia="+mn-ea"/>
          <w:kern w:val="24"/>
          <w:szCs w:val="24"/>
          <w:lang w:eastAsia="en-CA"/>
        </w:rPr>
        <w:t>,</w:t>
      </w:r>
      <w:r w:rsidR="0033153B" w:rsidRPr="00816DDD">
        <w:rPr>
          <w:rFonts w:eastAsia="+mn-ea"/>
          <w:kern w:val="24"/>
          <w:szCs w:val="24"/>
          <w:lang w:eastAsia="en-CA"/>
        </w:rPr>
        <w:t xml:space="preserve"> including </w:t>
      </w:r>
      <w:r w:rsidR="0033153B" w:rsidRPr="00816DDD">
        <w:rPr>
          <w:rFonts w:eastAsia="+mn-ea" w:hint="cs"/>
          <w:kern w:val="24"/>
          <w:szCs w:val="24"/>
          <w:lang w:eastAsia="en-CA"/>
        </w:rPr>
        <w:t xml:space="preserve">office furnishings, inventory, raw materials, machinery, computers, </w:t>
      </w:r>
      <w:r w:rsidR="00570A3D" w:rsidRPr="00816DDD">
        <w:rPr>
          <w:rFonts w:eastAsia="+mn-ea"/>
          <w:kern w:val="24"/>
          <w:szCs w:val="24"/>
          <w:lang w:eastAsia="en-CA"/>
        </w:rPr>
        <w:t xml:space="preserve">computer data, </w:t>
      </w:r>
      <w:r w:rsidR="0033153B" w:rsidRPr="00816DDD">
        <w:rPr>
          <w:rFonts w:eastAsia="+mn-ea" w:hint="cs"/>
          <w:kern w:val="24"/>
          <w:szCs w:val="24"/>
          <w:lang w:eastAsia="en-CA"/>
        </w:rPr>
        <w:t>and</w:t>
      </w:r>
      <w:r w:rsidR="00570A3D" w:rsidRPr="00816DDD">
        <w:rPr>
          <w:rFonts w:eastAsia="+mn-ea"/>
          <w:kern w:val="24"/>
          <w:szCs w:val="24"/>
          <w:lang w:eastAsia="en-CA"/>
        </w:rPr>
        <w:t xml:space="preserve"> intellectual property</w:t>
      </w:r>
      <w:r w:rsidR="0033153B" w:rsidRPr="00816DDD">
        <w:rPr>
          <w:rFonts w:eastAsia="+mn-ea" w:hint="cs"/>
          <w:kern w:val="24"/>
          <w:szCs w:val="24"/>
          <w:lang w:eastAsia="en-CA"/>
        </w:rPr>
        <w:t>.</w:t>
      </w:r>
      <w:r w:rsidR="0048711E" w:rsidRPr="00816DDD">
        <w:rPr>
          <w:rFonts w:eastAsia="+mn-ea" w:hint="cs"/>
          <w:kern w:val="24"/>
          <w:szCs w:val="24"/>
          <w:lang w:eastAsia="en-CA"/>
        </w:rPr>
        <w:t xml:space="preserve"> </w:t>
      </w:r>
      <w:r w:rsidR="00570A3D" w:rsidRPr="00816DDD">
        <w:rPr>
          <w:rFonts w:eastAsia="+mn-ea"/>
          <w:kern w:val="24"/>
          <w:szCs w:val="24"/>
          <w:lang w:eastAsia="en-CA"/>
        </w:rPr>
        <w:t xml:space="preserve"> </w:t>
      </w:r>
      <w:r w:rsidR="0048711E" w:rsidRPr="00816DDD">
        <w:rPr>
          <w:rFonts w:eastAsia="+mn-ea" w:hint="cs"/>
          <w:kern w:val="24"/>
          <w:szCs w:val="24"/>
          <w:lang w:eastAsia="en-CA"/>
        </w:rPr>
        <w:t>Additional</w:t>
      </w:r>
      <w:r w:rsidR="0048711E" w:rsidRPr="00816DDD">
        <w:rPr>
          <w:rFonts w:eastAsia="+mn-ea"/>
          <w:kern w:val="24"/>
          <w:szCs w:val="24"/>
          <w:lang w:eastAsia="en-CA"/>
        </w:rPr>
        <w:t xml:space="preserve"> </w:t>
      </w:r>
      <w:r w:rsidR="00570A3D" w:rsidRPr="00816DDD">
        <w:rPr>
          <w:rFonts w:eastAsia="+mn-ea"/>
          <w:kern w:val="24"/>
          <w:szCs w:val="24"/>
          <w:lang w:eastAsia="en-CA"/>
        </w:rPr>
        <w:t xml:space="preserve">coverage can </w:t>
      </w:r>
      <w:r w:rsidR="0033153B" w:rsidRPr="00816DDD">
        <w:rPr>
          <w:rFonts w:eastAsia="+mn-ea" w:hint="cs"/>
          <w:kern w:val="24"/>
          <w:szCs w:val="24"/>
          <w:lang w:eastAsia="en-CA"/>
        </w:rPr>
        <w:t>be purchased</w:t>
      </w:r>
      <w:r w:rsidR="00570A3D" w:rsidRPr="00816DDD">
        <w:rPr>
          <w:rFonts w:eastAsia="+mn-ea"/>
          <w:kern w:val="24"/>
          <w:szCs w:val="24"/>
          <w:lang w:eastAsia="en-CA"/>
        </w:rPr>
        <w:t xml:space="preserve"> for risks excluded from general property insurance polic</w:t>
      </w:r>
      <w:r w:rsidR="006307B3" w:rsidRPr="00816DDD">
        <w:rPr>
          <w:rFonts w:eastAsia="+mn-ea"/>
          <w:kern w:val="24"/>
          <w:szCs w:val="24"/>
          <w:lang w:eastAsia="en-CA"/>
        </w:rPr>
        <w:t>ies</w:t>
      </w:r>
      <w:r w:rsidR="00AA0B27">
        <w:rPr>
          <w:rFonts w:eastAsia="+mn-ea"/>
          <w:kern w:val="24"/>
          <w:szCs w:val="24"/>
          <w:lang w:eastAsia="en-CA"/>
        </w:rPr>
        <w:t>,</w:t>
      </w:r>
      <w:r w:rsidR="00570A3D" w:rsidRPr="00816DDD">
        <w:rPr>
          <w:rFonts w:eastAsia="+mn-ea"/>
          <w:kern w:val="24"/>
          <w:szCs w:val="24"/>
          <w:lang w:eastAsia="en-CA"/>
        </w:rPr>
        <w:t xml:space="preserve"> such as</w:t>
      </w:r>
      <w:r w:rsidR="0033153B" w:rsidRPr="00816DDD">
        <w:rPr>
          <w:rFonts w:eastAsia="+mn-ea" w:hint="cs"/>
          <w:kern w:val="24"/>
          <w:szCs w:val="24"/>
          <w:lang w:eastAsia="en-CA"/>
        </w:rPr>
        <w:t xml:space="preserve">:  </w:t>
      </w:r>
    </w:p>
    <w:p w14:paraId="4D6188C5" w14:textId="77777777" w:rsidR="0051511B" w:rsidRPr="00816DDD" w:rsidRDefault="0051511B" w:rsidP="00EB58A6">
      <w:pPr>
        <w:spacing w:after="0" w:line="240" w:lineRule="auto"/>
        <w:ind w:left="360"/>
        <w:rPr>
          <w:rFonts w:eastAsia="+mn-ea"/>
          <w:kern w:val="24"/>
          <w:szCs w:val="24"/>
          <w:lang w:eastAsia="en-CA"/>
        </w:rPr>
      </w:pPr>
    </w:p>
    <w:p w14:paraId="5476FCDA" w14:textId="7BB3C25A" w:rsidR="00024B00" w:rsidRPr="00816DDD" w:rsidRDefault="00024B00" w:rsidP="00024B00">
      <w:pPr>
        <w:spacing w:after="0" w:line="240" w:lineRule="auto"/>
        <w:ind w:left="360"/>
        <w:jc w:val="center"/>
        <w:rPr>
          <w:rFonts w:eastAsia="+mn-ea"/>
          <w:b/>
          <w:bCs/>
          <w:kern w:val="24"/>
          <w:sz w:val="20"/>
          <w:szCs w:val="20"/>
          <w:lang w:eastAsia="en-CA"/>
        </w:rPr>
      </w:pPr>
      <w:r w:rsidRPr="00816DDD">
        <w:rPr>
          <w:rFonts w:eastAsia="+mn-ea"/>
          <w:b/>
          <w:bCs/>
          <w:kern w:val="24"/>
          <w:sz w:val="20"/>
          <w:szCs w:val="20"/>
          <w:lang w:eastAsia="en-CA"/>
        </w:rPr>
        <w:t>Exhibit 1:  Other Types of Property Insurance</w:t>
      </w:r>
    </w:p>
    <w:p w14:paraId="45357246" w14:textId="77777777" w:rsidR="0048711E" w:rsidRPr="00816DDD" w:rsidRDefault="0048711E" w:rsidP="0048711E">
      <w:pPr>
        <w:spacing w:after="0" w:line="240" w:lineRule="auto"/>
        <w:ind w:left="360"/>
        <w:rPr>
          <w:rFonts w:eastAsia="+mn-ea"/>
          <w:kern w:val="24"/>
          <w:szCs w:val="24"/>
          <w:lang w:eastAsia="en-CA"/>
        </w:rPr>
      </w:pPr>
    </w:p>
    <w:tbl>
      <w:tblPr>
        <w:tblStyle w:val="TableGrid"/>
        <w:tblW w:w="9270" w:type="dxa"/>
        <w:tblInd w:w="535" w:type="dxa"/>
        <w:tblLook w:val="04A0" w:firstRow="1" w:lastRow="0" w:firstColumn="1" w:lastColumn="0" w:noHBand="0" w:noVBand="1"/>
      </w:tblPr>
      <w:tblGrid>
        <w:gridCol w:w="3235"/>
        <w:gridCol w:w="6035"/>
      </w:tblGrid>
      <w:tr w:rsidR="00816DDD" w:rsidRPr="00816DDD" w14:paraId="39677990" w14:textId="77777777" w:rsidTr="0048711E">
        <w:tc>
          <w:tcPr>
            <w:tcW w:w="3235" w:type="dxa"/>
          </w:tcPr>
          <w:p w14:paraId="26AE67C5" w14:textId="6CCB8F06" w:rsidR="0048711E" w:rsidRPr="00816DDD" w:rsidRDefault="0048711E" w:rsidP="0048711E">
            <w:pPr>
              <w:rPr>
                <w:rFonts w:eastAsia="+mn-ea"/>
                <w:kern w:val="24"/>
                <w:sz w:val="20"/>
                <w:szCs w:val="20"/>
                <w:lang w:eastAsia="en-CA"/>
              </w:rPr>
            </w:pPr>
            <w:r w:rsidRPr="00816DDD">
              <w:rPr>
                <w:rFonts w:eastAsia="+mn-ea" w:hint="cs"/>
                <w:kern w:val="24"/>
                <w:sz w:val="20"/>
                <w:szCs w:val="20"/>
                <w:lang w:eastAsia="en-CA"/>
              </w:rPr>
              <w:t>Crop insurance</w:t>
            </w:r>
          </w:p>
        </w:tc>
        <w:tc>
          <w:tcPr>
            <w:tcW w:w="6035" w:type="dxa"/>
          </w:tcPr>
          <w:p w14:paraId="0BCFAE89" w14:textId="594E712D" w:rsidR="0048711E" w:rsidRPr="00816DDD" w:rsidRDefault="0048711E" w:rsidP="0048711E">
            <w:pPr>
              <w:rPr>
                <w:rFonts w:eastAsia="+mn-ea"/>
                <w:kern w:val="24"/>
                <w:sz w:val="20"/>
                <w:szCs w:val="20"/>
                <w:lang w:eastAsia="en-CA"/>
              </w:rPr>
            </w:pPr>
            <w:r w:rsidRPr="00816DDD">
              <w:rPr>
                <w:rFonts w:eastAsia="+mn-ea"/>
                <w:kern w:val="24"/>
                <w:sz w:val="20"/>
                <w:szCs w:val="20"/>
                <w:lang w:eastAsia="en-CA"/>
              </w:rPr>
              <w:t xml:space="preserve">Losses due to fire, wind, </w:t>
            </w:r>
            <w:r w:rsidRPr="00816DDD">
              <w:rPr>
                <w:rFonts w:eastAsia="+mn-ea" w:hint="cs"/>
                <w:kern w:val="24"/>
                <w:sz w:val="20"/>
                <w:szCs w:val="20"/>
                <w:lang w:eastAsia="en-CA"/>
              </w:rPr>
              <w:t xml:space="preserve">hail, drought, frost, pests, or disease </w:t>
            </w:r>
          </w:p>
        </w:tc>
      </w:tr>
      <w:tr w:rsidR="00816DDD" w:rsidRPr="00816DDD" w14:paraId="7EAF7056" w14:textId="77777777" w:rsidTr="0048711E">
        <w:tc>
          <w:tcPr>
            <w:tcW w:w="3235" w:type="dxa"/>
          </w:tcPr>
          <w:p w14:paraId="51AF6134" w14:textId="1E1D685F" w:rsidR="0048711E" w:rsidRPr="00816DDD" w:rsidRDefault="0048711E" w:rsidP="0048711E">
            <w:pPr>
              <w:rPr>
                <w:rFonts w:eastAsia="+mn-ea"/>
                <w:kern w:val="24"/>
                <w:sz w:val="20"/>
                <w:szCs w:val="20"/>
                <w:lang w:eastAsia="en-CA"/>
              </w:rPr>
            </w:pPr>
            <w:r w:rsidRPr="00816DDD">
              <w:rPr>
                <w:rFonts w:eastAsia="+mn-ea" w:hint="cs"/>
                <w:kern w:val="24"/>
                <w:sz w:val="20"/>
                <w:szCs w:val="20"/>
                <w:lang w:eastAsia="en-CA"/>
              </w:rPr>
              <w:t>Landlord insurance</w:t>
            </w:r>
          </w:p>
        </w:tc>
        <w:tc>
          <w:tcPr>
            <w:tcW w:w="6035" w:type="dxa"/>
          </w:tcPr>
          <w:p w14:paraId="5030E434" w14:textId="7A23959A" w:rsidR="0048711E" w:rsidRPr="00816DDD" w:rsidRDefault="0048711E" w:rsidP="0048711E">
            <w:pPr>
              <w:rPr>
                <w:rFonts w:eastAsia="+mn-ea"/>
                <w:kern w:val="24"/>
                <w:sz w:val="20"/>
                <w:szCs w:val="20"/>
                <w:lang w:eastAsia="en-CA"/>
              </w:rPr>
            </w:pPr>
            <w:r w:rsidRPr="00816DDD">
              <w:rPr>
                <w:rFonts w:eastAsia="+mn-ea"/>
                <w:kern w:val="24"/>
                <w:sz w:val="20"/>
                <w:szCs w:val="20"/>
                <w:lang w:eastAsia="en-CA"/>
              </w:rPr>
              <w:t>R</w:t>
            </w:r>
            <w:r w:rsidRPr="00816DDD">
              <w:rPr>
                <w:rFonts w:eastAsia="+mn-ea" w:hint="cs"/>
                <w:kern w:val="24"/>
                <w:sz w:val="20"/>
                <w:szCs w:val="20"/>
                <w:lang w:eastAsia="en-CA"/>
              </w:rPr>
              <w:t xml:space="preserve">esidential or commercial property </w:t>
            </w:r>
            <w:r w:rsidRPr="00816DDD">
              <w:rPr>
                <w:rFonts w:eastAsia="+mn-ea"/>
                <w:kern w:val="24"/>
                <w:sz w:val="20"/>
                <w:szCs w:val="20"/>
                <w:lang w:eastAsia="en-CA"/>
              </w:rPr>
              <w:t>damage</w:t>
            </w:r>
            <w:r w:rsidR="00570A3D" w:rsidRPr="00816DDD">
              <w:rPr>
                <w:rFonts w:eastAsia="+mn-ea"/>
                <w:kern w:val="24"/>
                <w:sz w:val="20"/>
                <w:szCs w:val="20"/>
                <w:lang w:eastAsia="en-CA"/>
              </w:rPr>
              <w:t>s caused</w:t>
            </w:r>
            <w:r w:rsidRPr="00816DDD">
              <w:rPr>
                <w:rFonts w:eastAsia="+mn-ea"/>
                <w:kern w:val="24"/>
                <w:sz w:val="20"/>
                <w:szCs w:val="20"/>
                <w:lang w:eastAsia="en-CA"/>
              </w:rPr>
              <w:t xml:space="preserve"> </w:t>
            </w:r>
            <w:r w:rsidRPr="00816DDD">
              <w:rPr>
                <w:rFonts w:eastAsia="+mn-ea" w:hint="cs"/>
                <w:kern w:val="24"/>
                <w:sz w:val="20"/>
                <w:szCs w:val="20"/>
                <w:lang w:eastAsia="en-CA"/>
              </w:rPr>
              <w:t xml:space="preserve">by tenants </w:t>
            </w:r>
          </w:p>
        </w:tc>
      </w:tr>
      <w:tr w:rsidR="00816DDD" w:rsidRPr="00816DDD" w14:paraId="3AB05849" w14:textId="77777777" w:rsidTr="0048711E">
        <w:tc>
          <w:tcPr>
            <w:tcW w:w="3235" w:type="dxa"/>
          </w:tcPr>
          <w:p w14:paraId="2B757E17" w14:textId="1A9F96CB" w:rsidR="0048711E" w:rsidRPr="00816DDD" w:rsidRDefault="0048711E" w:rsidP="0048711E">
            <w:pPr>
              <w:rPr>
                <w:rFonts w:eastAsia="+mn-ea"/>
                <w:kern w:val="24"/>
                <w:sz w:val="20"/>
                <w:szCs w:val="20"/>
                <w:lang w:eastAsia="en-CA"/>
              </w:rPr>
            </w:pPr>
            <w:r w:rsidRPr="00816DDD">
              <w:rPr>
                <w:rFonts w:eastAsia="+mn-ea" w:hint="cs"/>
                <w:kern w:val="24"/>
                <w:sz w:val="20"/>
                <w:szCs w:val="20"/>
                <w:lang w:eastAsia="en-CA"/>
              </w:rPr>
              <w:t xml:space="preserve">Air </w:t>
            </w:r>
            <w:r w:rsidRPr="00816DDD">
              <w:rPr>
                <w:rFonts w:eastAsia="+mn-ea"/>
                <w:kern w:val="24"/>
                <w:sz w:val="20"/>
                <w:szCs w:val="20"/>
                <w:lang w:eastAsia="en-CA"/>
              </w:rPr>
              <w:t xml:space="preserve">or </w:t>
            </w:r>
            <w:r w:rsidRPr="00816DDD">
              <w:rPr>
                <w:rFonts w:eastAsia="+mn-ea" w:hint="cs"/>
                <w:kern w:val="24"/>
                <w:sz w:val="20"/>
                <w:szCs w:val="20"/>
                <w:lang w:eastAsia="en-CA"/>
              </w:rPr>
              <w:t xml:space="preserve">marine transport </w:t>
            </w:r>
            <w:r w:rsidRPr="00816DDD">
              <w:rPr>
                <w:rFonts w:eastAsia="+mn-ea"/>
                <w:kern w:val="24"/>
                <w:sz w:val="20"/>
                <w:szCs w:val="20"/>
                <w:lang w:eastAsia="en-CA"/>
              </w:rPr>
              <w:t>insurance</w:t>
            </w:r>
          </w:p>
        </w:tc>
        <w:tc>
          <w:tcPr>
            <w:tcW w:w="6035" w:type="dxa"/>
          </w:tcPr>
          <w:p w14:paraId="55731318" w14:textId="5582EA91" w:rsidR="0048711E" w:rsidRPr="00816DDD" w:rsidRDefault="0048711E" w:rsidP="0048711E">
            <w:pPr>
              <w:rPr>
                <w:rFonts w:eastAsia="+mn-ea"/>
                <w:kern w:val="24"/>
                <w:sz w:val="20"/>
                <w:szCs w:val="20"/>
                <w:lang w:eastAsia="en-CA"/>
              </w:rPr>
            </w:pPr>
            <w:r w:rsidRPr="00816DDD">
              <w:rPr>
                <w:rFonts w:eastAsia="+mn-ea"/>
                <w:kern w:val="24"/>
                <w:sz w:val="20"/>
                <w:szCs w:val="20"/>
                <w:lang w:eastAsia="en-CA"/>
              </w:rPr>
              <w:t>L</w:t>
            </w:r>
            <w:r w:rsidRPr="00816DDD">
              <w:rPr>
                <w:rFonts w:eastAsia="+mn-ea" w:hint="cs"/>
                <w:kern w:val="24"/>
                <w:sz w:val="20"/>
                <w:szCs w:val="20"/>
                <w:lang w:eastAsia="en-CA"/>
              </w:rPr>
              <w:t xml:space="preserve">osses to equipment and cargo </w:t>
            </w:r>
          </w:p>
        </w:tc>
      </w:tr>
      <w:tr w:rsidR="00816DDD" w:rsidRPr="00816DDD" w14:paraId="0E625FF3" w14:textId="77777777" w:rsidTr="0048711E">
        <w:tc>
          <w:tcPr>
            <w:tcW w:w="3235" w:type="dxa"/>
          </w:tcPr>
          <w:p w14:paraId="1A37B6D2" w14:textId="061B1117" w:rsidR="0048711E" w:rsidRPr="00816DDD" w:rsidRDefault="0048711E" w:rsidP="0048711E">
            <w:pPr>
              <w:rPr>
                <w:rFonts w:eastAsia="+mn-ea"/>
                <w:kern w:val="24"/>
                <w:sz w:val="20"/>
                <w:szCs w:val="20"/>
                <w:lang w:eastAsia="en-CA"/>
              </w:rPr>
            </w:pPr>
            <w:r w:rsidRPr="00816DDD">
              <w:rPr>
                <w:rFonts w:eastAsia="+mn-ea"/>
                <w:kern w:val="24"/>
                <w:sz w:val="20"/>
                <w:szCs w:val="20"/>
                <w:lang w:eastAsia="en-CA"/>
              </w:rPr>
              <w:t>Boiler and e</w:t>
            </w:r>
            <w:r w:rsidRPr="00816DDD">
              <w:rPr>
                <w:rFonts w:eastAsia="+mn-ea" w:hint="cs"/>
                <w:kern w:val="24"/>
                <w:sz w:val="20"/>
                <w:szCs w:val="20"/>
                <w:lang w:eastAsia="en-CA"/>
              </w:rPr>
              <w:t>quipment insurance</w:t>
            </w:r>
          </w:p>
        </w:tc>
        <w:tc>
          <w:tcPr>
            <w:tcW w:w="6035" w:type="dxa"/>
          </w:tcPr>
          <w:p w14:paraId="666D6902" w14:textId="1A167BF6" w:rsidR="0048711E" w:rsidRPr="00816DDD" w:rsidRDefault="0048711E" w:rsidP="0048711E">
            <w:pPr>
              <w:rPr>
                <w:rFonts w:eastAsia="+mn-ea"/>
                <w:kern w:val="24"/>
                <w:sz w:val="20"/>
                <w:szCs w:val="20"/>
                <w:lang w:eastAsia="en-CA"/>
              </w:rPr>
            </w:pPr>
            <w:r w:rsidRPr="00816DDD">
              <w:rPr>
                <w:rFonts w:eastAsia="+mn-ea"/>
                <w:kern w:val="24"/>
                <w:sz w:val="20"/>
                <w:szCs w:val="20"/>
                <w:lang w:eastAsia="en-CA"/>
              </w:rPr>
              <w:t>A</w:t>
            </w:r>
            <w:r w:rsidRPr="00816DDD">
              <w:rPr>
                <w:rFonts w:eastAsia="+mn-ea" w:hint="cs"/>
                <w:kern w:val="24"/>
                <w:sz w:val="20"/>
                <w:szCs w:val="20"/>
                <w:lang w:eastAsia="en-CA"/>
              </w:rPr>
              <w:t>ccidental damage to boilers</w:t>
            </w:r>
            <w:r w:rsidRPr="00816DDD">
              <w:rPr>
                <w:rFonts w:eastAsia="+mn-ea"/>
                <w:kern w:val="24"/>
                <w:sz w:val="20"/>
                <w:szCs w:val="20"/>
                <w:lang w:eastAsia="en-CA"/>
              </w:rPr>
              <w:t xml:space="preserve"> and equipment</w:t>
            </w:r>
          </w:p>
        </w:tc>
      </w:tr>
      <w:tr w:rsidR="0048711E" w:rsidRPr="00816DDD" w14:paraId="7EBA34A8" w14:textId="77777777" w:rsidTr="0048711E">
        <w:tc>
          <w:tcPr>
            <w:tcW w:w="3235" w:type="dxa"/>
          </w:tcPr>
          <w:p w14:paraId="6F07A82B" w14:textId="065614A3" w:rsidR="0048711E" w:rsidRPr="00816DDD" w:rsidRDefault="0048711E" w:rsidP="0048711E">
            <w:pPr>
              <w:rPr>
                <w:rFonts w:eastAsia="+mn-ea"/>
                <w:kern w:val="24"/>
                <w:sz w:val="20"/>
                <w:szCs w:val="20"/>
                <w:lang w:eastAsia="en-CA"/>
              </w:rPr>
            </w:pPr>
            <w:r w:rsidRPr="00816DDD">
              <w:rPr>
                <w:rFonts w:eastAsia="+mn-ea" w:hint="cs"/>
                <w:kern w:val="24"/>
                <w:sz w:val="20"/>
                <w:szCs w:val="20"/>
                <w:lang w:eastAsia="en-CA"/>
              </w:rPr>
              <w:t>Builder’s risk insurance</w:t>
            </w:r>
          </w:p>
        </w:tc>
        <w:tc>
          <w:tcPr>
            <w:tcW w:w="6035" w:type="dxa"/>
          </w:tcPr>
          <w:p w14:paraId="13CB70FC" w14:textId="2C8E4CEE" w:rsidR="0048711E" w:rsidRPr="00816DDD" w:rsidRDefault="0048711E" w:rsidP="0048711E">
            <w:pPr>
              <w:rPr>
                <w:rFonts w:eastAsia="+mn-ea"/>
                <w:kern w:val="24"/>
                <w:sz w:val="20"/>
                <w:szCs w:val="20"/>
                <w:lang w:eastAsia="en-CA"/>
              </w:rPr>
            </w:pPr>
            <w:r w:rsidRPr="00816DDD">
              <w:rPr>
                <w:rFonts w:eastAsia="+mn-ea"/>
                <w:kern w:val="24"/>
                <w:sz w:val="20"/>
                <w:szCs w:val="20"/>
                <w:lang w:eastAsia="en-CA"/>
              </w:rPr>
              <w:t>D</w:t>
            </w:r>
            <w:r w:rsidRPr="00816DDD">
              <w:rPr>
                <w:rFonts w:eastAsia="+mn-ea" w:hint="cs"/>
                <w:kern w:val="24"/>
                <w:sz w:val="20"/>
                <w:szCs w:val="20"/>
                <w:lang w:eastAsia="en-CA"/>
              </w:rPr>
              <w:t xml:space="preserve">amage to materials, fixtures, and equipment </w:t>
            </w:r>
            <w:r w:rsidRPr="00816DDD">
              <w:rPr>
                <w:rFonts w:eastAsia="+mn-ea"/>
                <w:kern w:val="24"/>
                <w:sz w:val="20"/>
                <w:szCs w:val="20"/>
                <w:lang w:eastAsia="en-CA"/>
              </w:rPr>
              <w:t>during construction</w:t>
            </w:r>
          </w:p>
        </w:tc>
      </w:tr>
    </w:tbl>
    <w:p w14:paraId="1FE6D31E" w14:textId="77777777" w:rsidR="003B2FBB" w:rsidRPr="00816DDD" w:rsidRDefault="003B2FBB" w:rsidP="0048711E">
      <w:pPr>
        <w:spacing w:after="0" w:line="240" w:lineRule="auto"/>
        <w:rPr>
          <w:rFonts w:eastAsia="+mn-ea"/>
          <w:kern w:val="24"/>
          <w:szCs w:val="24"/>
          <w:lang w:eastAsia="en-CA"/>
        </w:rPr>
      </w:pPr>
    </w:p>
    <w:p w14:paraId="57F0D286" w14:textId="593D4A33" w:rsidR="00024B00" w:rsidRPr="00816DDD" w:rsidRDefault="004F4881" w:rsidP="0051511B">
      <w:pPr>
        <w:spacing w:after="0" w:line="240" w:lineRule="auto"/>
        <w:ind w:left="360" w:right="-306"/>
        <w:rPr>
          <w:rFonts w:eastAsia="+mn-ea"/>
          <w:kern w:val="24"/>
          <w:szCs w:val="24"/>
          <w:lang w:eastAsia="en-CA"/>
        </w:rPr>
      </w:pPr>
      <w:r w:rsidRPr="00816DDD">
        <w:rPr>
          <w:rFonts w:eastAsia="+mn-ea"/>
          <w:b/>
          <w:bCs/>
          <w:kern w:val="24"/>
          <w:szCs w:val="24"/>
          <w:lang w:eastAsia="en-CA"/>
        </w:rPr>
        <w:t>L</w:t>
      </w:r>
      <w:r w:rsidR="003B2FBB" w:rsidRPr="00816DDD">
        <w:rPr>
          <w:rFonts w:eastAsia="+mn-ea"/>
          <w:b/>
          <w:bCs/>
          <w:kern w:val="24"/>
          <w:szCs w:val="24"/>
          <w:lang w:eastAsia="en-CA"/>
        </w:rPr>
        <w:t>iability</w:t>
      </w:r>
      <w:r w:rsidR="00902A40" w:rsidRPr="00816DDD">
        <w:rPr>
          <w:rFonts w:eastAsia="+mn-ea" w:hint="cs"/>
          <w:b/>
          <w:bCs/>
          <w:kern w:val="24"/>
          <w:szCs w:val="24"/>
          <w:lang w:eastAsia="en-CA"/>
        </w:rPr>
        <w:t xml:space="preserve"> insurance</w:t>
      </w:r>
      <w:r w:rsidR="0058265B" w:rsidRPr="00816DDD">
        <w:rPr>
          <w:rFonts w:eastAsia="+mn-ea"/>
          <w:b/>
          <w:bCs/>
          <w:kern w:val="24"/>
          <w:szCs w:val="24"/>
          <w:lang w:eastAsia="en-CA"/>
        </w:rPr>
        <w:t>.</w:t>
      </w:r>
      <w:r w:rsidR="0058265B" w:rsidRPr="00816DDD">
        <w:rPr>
          <w:rFonts w:eastAsia="+mn-ea"/>
          <w:kern w:val="24"/>
          <w:szCs w:val="24"/>
          <w:lang w:eastAsia="en-CA"/>
        </w:rPr>
        <w:t xml:space="preserve">  </w:t>
      </w:r>
      <w:r w:rsidR="00651347" w:rsidRPr="00816DDD">
        <w:rPr>
          <w:rFonts w:eastAsia="+mn-ea"/>
          <w:kern w:val="24"/>
          <w:szCs w:val="24"/>
          <w:lang w:eastAsia="en-CA"/>
        </w:rPr>
        <w:t>Covers d</w:t>
      </w:r>
      <w:r w:rsidR="00751BCA" w:rsidRPr="00816DDD">
        <w:rPr>
          <w:rFonts w:eastAsia="+mn-ea" w:hint="cs"/>
          <w:kern w:val="24"/>
          <w:szCs w:val="24"/>
          <w:lang w:eastAsia="en-CA"/>
        </w:rPr>
        <w:t xml:space="preserve">amages </w:t>
      </w:r>
      <w:r w:rsidRPr="00816DDD">
        <w:rPr>
          <w:rFonts w:eastAsia="+mn-ea"/>
          <w:kern w:val="24"/>
          <w:szCs w:val="24"/>
          <w:lang w:eastAsia="en-CA"/>
        </w:rPr>
        <w:t>to a</w:t>
      </w:r>
      <w:r w:rsidR="00570A3D" w:rsidRPr="00816DDD">
        <w:rPr>
          <w:rFonts w:eastAsia="+mn-ea"/>
          <w:kern w:val="24"/>
          <w:szCs w:val="24"/>
          <w:lang w:eastAsia="en-CA"/>
        </w:rPr>
        <w:t xml:space="preserve"> </w:t>
      </w:r>
      <w:r w:rsidRPr="00816DDD">
        <w:rPr>
          <w:rFonts w:eastAsia="+mn-ea"/>
          <w:kern w:val="24"/>
          <w:szCs w:val="24"/>
          <w:lang w:eastAsia="en-CA"/>
        </w:rPr>
        <w:t xml:space="preserve">party </w:t>
      </w:r>
      <w:r w:rsidR="00751BCA" w:rsidRPr="00816DDD">
        <w:rPr>
          <w:rFonts w:eastAsia="+mn-ea" w:hint="cs"/>
          <w:kern w:val="24"/>
          <w:szCs w:val="24"/>
          <w:lang w:eastAsia="en-CA"/>
        </w:rPr>
        <w:t xml:space="preserve">caused by </w:t>
      </w:r>
      <w:r w:rsidRPr="00816DDD">
        <w:rPr>
          <w:rFonts w:eastAsia="+mn-ea"/>
          <w:kern w:val="24"/>
          <w:szCs w:val="24"/>
          <w:lang w:eastAsia="en-CA"/>
        </w:rPr>
        <w:t xml:space="preserve">a business’s </w:t>
      </w:r>
      <w:r w:rsidR="0033153B" w:rsidRPr="00816DDD">
        <w:rPr>
          <w:rFonts w:eastAsia="+mn-ea"/>
          <w:kern w:val="24"/>
          <w:szCs w:val="24"/>
          <w:lang w:eastAsia="en-CA"/>
        </w:rPr>
        <w:t xml:space="preserve">operations, </w:t>
      </w:r>
      <w:r w:rsidR="00751BCA" w:rsidRPr="00816DDD">
        <w:rPr>
          <w:rFonts w:eastAsia="+mn-ea" w:hint="cs"/>
          <w:kern w:val="24"/>
          <w:szCs w:val="24"/>
          <w:lang w:eastAsia="en-CA"/>
        </w:rPr>
        <w:t>products,</w:t>
      </w:r>
      <w:r w:rsidRPr="00816DDD">
        <w:rPr>
          <w:rFonts w:eastAsia="+mn-ea"/>
          <w:kern w:val="24"/>
          <w:szCs w:val="24"/>
          <w:lang w:eastAsia="en-CA"/>
        </w:rPr>
        <w:t xml:space="preserve"> or</w:t>
      </w:r>
      <w:r w:rsidR="00751BCA" w:rsidRPr="00816DDD">
        <w:rPr>
          <w:rFonts w:eastAsia="+mn-ea" w:hint="cs"/>
          <w:kern w:val="24"/>
          <w:szCs w:val="24"/>
          <w:lang w:eastAsia="en-CA"/>
        </w:rPr>
        <w:t xml:space="preserve"> employees</w:t>
      </w:r>
      <w:r w:rsidR="003B2FBB" w:rsidRPr="00816DDD">
        <w:rPr>
          <w:rFonts w:eastAsia="+mn-ea"/>
          <w:kern w:val="24"/>
          <w:szCs w:val="24"/>
          <w:lang w:eastAsia="en-CA"/>
        </w:rPr>
        <w:t>.</w:t>
      </w:r>
      <w:r w:rsidRPr="00816DDD">
        <w:rPr>
          <w:rFonts w:eastAsia="+mn-ea"/>
          <w:kern w:val="24"/>
          <w:szCs w:val="24"/>
          <w:lang w:eastAsia="en-CA"/>
        </w:rPr>
        <w:t xml:space="preserve">  A customer may claim harm due to a faulty product, </w:t>
      </w:r>
      <w:r w:rsidR="00716CD9">
        <w:rPr>
          <w:rFonts w:eastAsia="+mn-ea"/>
          <w:kern w:val="24"/>
          <w:szCs w:val="24"/>
          <w:lang w:eastAsia="en-CA"/>
        </w:rPr>
        <w:t>a service error</w:t>
      </w:r>
      <w:r w:rsidRPr="00816DDD">
        <w:rPr>
          <w:rFonts w:eastAsia="+mn-ea"/>
          <w:kern w:val="24"/>
          <w:szCs w:val="24"/>
          <w:lang w:eastAsia="en-CA"/>
        </w:rPr>
        <w:t xml:space="preserve">, or </w:t>
      </w:r>
      <w:r w:rsidR="00570A3D" w:rsidRPr="00816DDD">
        <w:rPr>
          <w:rFonts w:eastAsia="+mn-ea"/>
          <w:kern w:val="24"/>
          <w:szCs w:val="24"/>
          <w:lang w:eastAsia="en-CA"/>
        </w:rPr>
        <w:t>deceptive</w:t>
      </w:r>
      <w:r w:rsidRPr="00816DDD">
        <w:rPr>
          <w:rFonts w:eastAsia="+mn-ea"/>
          <w:kern w:val="24"/>
          <w:szCs w:val="24"/>
          <w:lang w:eastAsia="en-CA"/>
        </w:rPr>
        <w:t xml:space="preserve"> advertising.  </w:t>
      </w:r>
      <w:r w:rsidR="00570A3D" w:rsidRPr="00816DDD">
        <w:rPr>
          <w:rFonts w:eastAsia="+mn-ea"/>
          <w:kern w:val="24"/>
          <w:szCs w:val="24"/>
          <w:lang w:eastAsia="en-CA"/>
        </w:rPr>
        <w:t xml:space="preserve">Employees may claim </w:t>
      </w:r>
      <w:r w:rsidR="00E34821">
        <w:rPr>
          <w:rFonts w:eastAsia="+mn-ea"/>
          <w:kern w:val="24"/>
          <w:szCs w:val="24"/>
          <w:lang w:eastAsia="en-CA"/>
        </w:rPr>
        <w:t>a supervisor or co-worker harassed them</w:t>
      </w:r>
      <w:r w:rsidR="00570A3D" w:rsidRPr="00816DDD">
        <w:rPr>
          <w:rFonts w:eastAsia="+mn-ea"/>
          <w:kern w:val="24"/>
          <w:szCs w:val="24"/>
          <w:lang w:eastAsia="en-CA"/>
        </w:rPr>
        <w:t>.  Outside parties</w:t>
      </w:r>
      <w:r w:rsidRPr="00816DDD">
        <w:rPr>
          <w:rFonts w:eastAsia="+mn-ea"/>
          <w:kern w:val="24"/>
          <w:szCs w:val="24"/>
          <w:lang w:eastAsia="en-CA"/>
        </w:rPr>
        <w:t xml:space="preserve"> may claim the company slandered, </w:t>
      </w:r>
      <w:proofErr w:type="spellStart"/>
      <w:r w:rsidR="0051511B">
        <w:rPr>
          <w:rFonts w:eastAsia="+mn-ea"/>
          <w:kern w:val="24"/>
          <w:szCs w:val="24"/>
          <w:lang w:eastAsia="en-CA"/>
        </w:rPr>
        <w:t>libelled</w:t>
      </w:r>
      <w:proofErr w:type="spellEnd"/>
      <w:r w:rsidRPr="00816DDD">
        <w:rPr>
          <w:rFonts w:eastAsia="+mn-ea"/>
          <w:kern w:val="24"/>
          <w:szCs w:val="24"/>
          <w:lang w:eastAsia="en-CA"/>
        </w:rPr>
        <w:t xml:space="preserve">, or harassed them, damaged their property, or caused </w:t>
      </w:r>
      <w:r w:rsidR="006307B3" w:rsidRPr="00816DDD">
        <w:rPr>
          <w:rFonts w:eastAsia="+mn-ea"/>
          <w:kern w:val="24"/>
          <w:szCs w:val="24"/>
          <w:lang w:eastAsia="en-CA"/>
        </w:rPr>
        <w:t xml:space="preserve">them </w:t>
      </w:r>
      <w:r w:rsidRPr="00816DDD">
        <w:rPr>
          <w:rFonts w:eastAsia="+mn-ea"/>
          <w:kern w:val="24"/>
          <w:szCs w:val="24"/>
          <w:lang w:eastAsia="en-CA"/>
        </w:rPr>
        <w:t>physical harm.  Claims made against the company can be settled directly or in court.  Liability insurance pay</w:t>
      </w:r>
      <w:r w:rsidR="006307B3" w:rsidRPr="00816DDD">
        <w:rPr>
          <w:rFonts w:eastAsia="+mn-ea"/>
          <w:kern w:val="24"/>
          <w:szCs w:val="24"/>
          <w:lang w:eastAsia="en-CA"/>
        </w:rPr>
        <w:t>s</w:t>
      </w:r>
      <w:r w:rsidRPr="00816DDD">
        <w:rPr>
          <w:rFonts w:eastAsia="+mn-ea"/>
          <w:kern w:val="24"/>
          <w:szCs w:val="24"/>
          <w:lang w:eastAsia="en-CA"/>
        </w:rPr>
        <w:t xml:space="preserve"> settlements up to the coverage limit as well as any legal costs</w:t>
      </w:r>
      <w:r w:rsidR="00AA0B27">
        <w:rPr>
          <w:rFonts w:eastAsia="+mn-ea"/>
          <w:kern w:val="24"/>
          <w:szCs w:val="24"/>
          <w:lang w:eastAsia="en-CA"/>
        </w:rPr>
        <w:t>,</w:t>
      </w:r>
      <w:r w:rsidRPr="00816DDD">
        <w:rPr>
          <w:rFonts w:eastAsia="+mn-ea"/>
          <w:kern w:val="24"/>
          <w:szCs w:val="24"/>
          <w:lang w:eastAsia="en-CA"/>
        </w:rPr>
        <w:t xml:space="preserve"> which can be substantial.  Businesses typically carry general liability insurance that cover</w:t>
      </w:r>
      <w:r w:rsidR="006307B3" w:rsidRPr="00816DDD">
        <w:rPr>
          <w:rFonts w:eastAsia="+mn-ea"/>
          <w:kern w:val="24"/>
          <w:szCs w:val="24"/>
          <w:lang w:eastAsia="en-CA"/>
        </w:rPr>
        <w:t>s</w:t>
      </w:r>
      <w:r w:rsidRPr="00816DDD">
        <w:rPr>
          <w:rFonts w:eastAsia="+mn-ea"/>
          <w:kern w:val="24"/>
          <w:szCs w:val="24"/>
          <w:lang w:eastAsia="en-CA"/>
        </w:rPr>
        <w:t xml:space="preserve"> most liability claims, but additional coverage may be required if losses are excluded</w:t>
      </w:r>
      <w:r w:rsidR="00AA0B27">
        <w:rPr>
          <w:rFonts w:eastAsia="+mn-ea"/>
          <w:kern w:val="24"/>
          <w:szCs w:val="24"/>
          <w:lang w:eastAsia="en-CA"/>
        </w:rPr>
        <w:t>,</w:t>
      </w:r>
      <w:r w:rsidRPr="00816DDD">
        <w:rPr>
          <w:rFonts w:eastAsia="+mn-ea"/>
          <w:kern w:val="24"/>
          <w:szCs w:val="24"/>
          <w:lang w:eastAsia="en-CA"/>
        </w:rPr>
        <w:t xml:space="preserve"> such as:</w:t>
      </w:r>
    </w:p>
    <w:p w14:paraId="1FB9A670" w14:textId="77777777" w:rsidR="0051511B" w:rsidRDefault="0051511B" w:rsidP="00024B00">
      <w:pPr>
        <w:spacing w:after="0" w:line="240" w:lineRule="auto"/>
        <w:ind w:left="360" w:right="-126"/>
        <w:jc w:val="center"/>
        <w:rPr>
          <w:rFonts w:eastAsia="+mn-ea"/>
          <w:b/>
          <w:bCs/>
          <w:kern w:val="24"/>
          <w:sz w:val="20"/>
          <w:szCs w:val="20"/>
          <w:lang w:eastAsia="en-CA"/>
        </w:rPr>
      </w:pPr>
    </w:p>
    <w:p w14:paraId="60A39FCD" w14:textId="1EF45DA8" w:rsidR="00024B00" w:rsidRPr="00816DDD" w:rsidRDefault="00024B00" w:rsidP="00024B00">
      <w:pPr>
        <w:spacing w:after="0" w:line="240" w:lineRule="auto"/>
        <w:ind w:left="360" w:right="-126"/>
        <w:jc w:val="center"/>
        <w:rPr>
          <w:rFonts w:eastAsia="+mn-ea"/>
          <w:b/>
          <w:bCs/>
          <w:kern w:val="24"/>
          <w:sz w:val="20"/>
          <w:szCs w:val="20"/>
          <w:lang w:eastAsia="en-CA"/>
        </w:rPr>
      </w:pPr>
      <w:r w:rsidRPr="00816DDD">
        <w:rPr>
          <w:rFonts w:eastAsia="+mn-ea"/>
          <w:b/>
          <w:bCs/>
          <w:kern w:val="24"/>
          <w:sz w:val="20"/>
          <w:szCs w:val="20"/>
          <w:lang w:eastAsia="en-CA"/>
        </w:rPr>
        <w:t>Exhibit 2:  Other Types of Liability Insurance</w:t>
      </w:r>
    </w:p>
    <w:p w14:paraId="057394DB" w14:textId="77777777" w:rsidR="004F4881" w:rsidRPr="00816DDD" w:rsidRDefault="004F4881" w:rsidP="000E660D">
      <w:pPr>
        <w:spacing w:after="0" w:line="240" w:lineRule="auto"/>
        <w:ind w:left="360" w:right="-126"/>
        <w:rPr>
          <w:rFonts w:eastAsia="+mn-ea"/>
          <w:kern w:val="24"/>
          <w:szCs w:val="24"/>
          <w:lang w:eastAsia="en-CA"/>
        </w:rPr>
      </w:pPr>
    </w:p>
    <w:tbl>
      <w:tblPr>
        <w:tblStyle w:val="TableGrid"/>
        <w:tblW w:w="0" w:type="auto"/>
        <w:tblInd w:w="360" w:type="dxa"/>
        <w:tblLook w:val="04A0" w:firstRow="1" w:lastRow="0" w:firstColumn="1" w:lastColumn="0" w:noHBand="0" w:noVBand="1"/>
      </w:tblPr>
      <w:tblGrid>
        <w:gridCol w:w="3775"/>
        <w:gridCol w:w="5580"/>
      </w:tblGrid>
      <w:tr w:rsidR="00816DDD" w:rsidRPr="00816DDD" w14:paraId="1D300FEB" w14:textId="77777777" w:rsidTr="00570A3D">
        <w:tc>
          <w:tcPr>
            <w:tcW w:w="3775" w:type="dxa"/>
            <w:vAlign w:val="center"/>
          </w:tcPr>
          <w:p w14:paraId="54E5E4BE" w14:textId="608AB635" w:rsidR="004F4881" w:rsidRPr="00816DDD" w:rsidRDefault="004F4881" w:rsidP="000E660D">
            <w:pPr>
              <w:ind w:right="-126"/>
              <w:rPr>
                <w:rFonts w:eastAsia="+mn-ea"/>
                <w:kern w:val="24"/>
                <w:sz w:val="20"/>
                <w:szCs w:val="20"/>
                <w:lang w:eastAsia="en-CA"/>
              </w:rPr>
            </w:pPr>
            <w:r w:rsidRPr="00816DDD">
              <w:rPr>
                <w:rFonts w:eastAsia="+mn-ea"/>
                <w:kern w:val="24"/>
                <w:sz w:val="20"/>
                <w:szCs w:val="20"/>
                <w:lang w:eastAsia="en-CA"/>
              </w:rPr>
              <w:t>Directors’ and officers’ liability insurance</w:t>
            </w:r>
          </w:p>
        </w:tc>
        <w:tc>
          <w:tcPr>
            <w:tcW w:w="5580" w:type="dxa"/>
          </w:tcPr>
          <w:p w14:paraId="1285418A" w14:textId="34564ACF" w:rsidR="004F4881" w:rsidRPr="00816DDD" w:rsidRDefault="004F4881" w:rsidP="000E660D">
            <w:pPr>
              <w:ind w:right="-126"/>
              <w:rPr>
                <w:rFonts w:eastAsia="+mn-ea"/>
                <w:kern w:val="24"/>
                <w:sz w:val="20"/>
                <w:szCs w:val="20"/>
                <w:lang w:eastAsia="en-CA"/>
              </w:rPr>
            </w:pPr>
            <w:r w:rsidRPr="00816DDD">
              <w:rPr>
                <w:spacing w:val="1"/>
                <w:sz w:val="20"/>
                <w:szCs w:val="20"/>
                <w:shd w:val="clear" w:color="auto" w:fill="FFFFFF"/>
              </w:rPr>
              <w:t>P</w:t>
            </w:r>
            <w:r w:rsidRPr="00816DDD">
              <w:rPr>
                <w:rFonts w:hint="cs"/>
                <w:spacing w:val="1"/>
                <w:sz w:val="20"/>
                <w:szCs w:val="20"/>
                <w:shd w:val="clear" w:color="auto" w:fill="FFFFFF"/>
              </w:rPr>
              <w:t>rotect</w:t>
            </w:r>
            <w:r w:rsidRPr="00816DDD">
              <w:rPr>
                <w:spacing w:val="1"/>
                <w:sz w:val="20"/>
                <w:szCs w:val="20"/>
                <w:shd w:val="clear" w:color="auto" w:fill="FFFFFF"/>
              </w:rPr>
              <w:t>s</w:t>
            </w:r>
            <w:r w:rsidRPr="00816DDD">
              <w:rPr>
                <w:rFonts w:hint="cs"/>
                <w:spacing w:val="1"/>
                <w:sz w:val="20"/>
                <w:szCs w:val="20"/>
                <w:shd w:val="clear" w:color="auto" w:fill="FFFFFF"/>
              </w:rPr>
              <w:t xml:space="preserve"> </w:t>
            </w:r>
            <w:r w:rsidRPr="00816DDD">
              <w:rPr>
                <w:spacing w:val="1"/>
                <w:sz w:val="20"/>
                <w:szCs w:val="20"/>
                <w:shd w:val="clear" w:color="auto" w:fill="FFFFFF"/>
              </w:rPr>
              <w:t xml:space="preserve">directors and officers against </w:t>
            </w:r>
            <w:r w:rsidRPr="00816DDD">
              <w:rPr>
                <w:rFonts w:hint="cs"/>
                <w:spacing w:val="1"/>
                <w:sz w:val="20"/>
                <w:szCs w:val="20"/>
                <w:shd w:val="clear" w:color="auto" w:fill="FFFFFF"/>
              </w:rPr>
              <w:t>personal loss</w:t>
            </w:r>
            <w:r w:rsidRPr="00816DDD">
              <w:rPr>
                <w:spacing w:val="1"/>
                <w:sz w:val="20"/>
                <w:szCs w:val="20"/>
                <w:shd w:val="clear" w:color="auto" w:fill="FFFFFF"/>
              </w:rPr>
              <w:t xml:space="preserve">, including legal costs, </w:t>
            </w:r>
            <w:r w:rsidRPr="00816DDD">
              <w:rPr>
                <w:rFonts w:hint="cs"/>
                <w:spacing w:val="1"/>
                <w:sz w:val="20"/>
                <w:szCs w:val="20"/>
                <w:shd w:val="clear" w:color="auto" w:fill="FFFFFF"/>
              </w:rPr>
              <w:t xml:space="preserve">if they are sued </w:t>
            </w:r>
            <w:r w:rsidRPr="00816DDD">
              <w:rPr>
                <w:spacing w:val="1"/>
                <w:sz w:val="20"/>
                <w:szCs w:val="20"/>
                <w:shd w:val="clear" w:color="auto" w:fill="FFFFFF"/>
              </w:rPr>
              <w:t>by investors, lenders, or other parties</w:t>
            </w:r>
          </w:p>
        </w:tc>
      </w:tr>
      <w:tr w:rsidR="00816DDD" w:rsidRPr="00816DDD" w14:paraId="0B77737D" w14:textId="77777777" w:rsidTr="00570A3D">
        <w:tc>
          <w:tcPr>
            <w:tcW w:w="3775" w:type="dxa"/>
            <w:vAlign w:val="center"/>
          </w:tcPr>
          <w:p w14:paraId="57DF7A78" w14:textId="39E2097B" w:rsidR="004F4881" w:rsidRPr="00816DDD" w:rsidRDefault="004F4881" w:rsidP="000E660D">
            <w:pPr>
              <w:ind w:right="-126"/>
              <w:rPr>
                <w:rFonts w:eastAsia="+mn-ea"/>
                <w:kern w:val="24"/>
                <w:sz w:val="20"/>
                <w:szCs w:val="20"/>
                <w:lang w:eastAsia="en-CA"/>
              </w:rPr>
            </w:pPr>
            <w:r w:rsidRPr="00816DDD">
              <w:rPr>
                <w:rFonts w:eastAsia="+mn-ea"/>
                <w:kern w:val="24"/>
                <w:sz w:val="20"/>
                <w:szCs w:val="20"/>
                <w:lang w:eastAsia="en-CA"/>
              </w:rPr>
              <w:t>Environmental liability insurance</w:t>
            </w:r>
          </w:p>
        </w:tc>
        <w:tc>
          <w:tcPr>
            <w:tcW w:w="5580" w:type="dxa"/>
          </w:tcPr>
          <w:p w14:paraId="336A2E1A" w14:textId="03F7094C" w:rsidR="004F4881" w:rsidRPr="00816DDD" w:rsidRDefault="00570A3D" w:rsidP="000E660D">
            <w:pPr>
              <w:ind w:right="-126"/>
              <w:rPr>
                <w:rFonts w:eastAsia="+mn-ea"/>
                <w:kern w:val="24"/>
                <w:sz w:val="20"/>
                <w:szCs w:val="20"/>
                <w:lang w:eastAsia="en-CA"/>
              </w:rPr>
            </w:pPr>
            <w:r w:rsidRPr="00816DDD">
              <w:rPr>
                <w:sz w:val="20"/>
                <w:szCs w:val="20"/>
              </w:rPr>
              <w:t xml:space="preserve">Covers </w:t>
            </w:r>
            <w:r w:rsidR="004F4881" w:rsidRPr="00816DDD">
              <w:rPr>
                <w:rFonts w:hint="cs"/>
                <w:sz w:val="20"/>
                <w:szCs w:val="20"/>
              </w:rPr>
              <w:t>damages resulting from the dispersal, release, or escape of pollutants</w:t>
            </w:r>
          </w:p>
        </w:tc>
      </w:tr>
      <w:tr w:rsidR="00816DDD" w:rsidRPr="00816DDD" w14:paraId="2B27092A" w14:textId="77777777" w:rsidTr="00570A3D">
        <w:tc>
          <w:tcPr>
            <w:tcW w:w="3775" w:type="dxa"/>
            <w:vAlign w:val="center"/>
          </w:tcPr>
          <w:p w14:paraId="0096464D" w14:textId="3D5C196D" w:rsidR="004F4881" w:rsidRPr="00816DDD" w:rsidRDefault="004F4881" w:rsidP="000E660D">
            <w:pPr>
              <w:ind w:right="-126"/>
              <w:rPr>
                <w:rFonts w:eastAsia="+mn-ea"/>
                <w:kern w:val="24"/>
                <w:sz w:val="20"/>
                <w:szCs w:val="20"/>
                <w:lang w:eastAsia="en-CA"/>
              </w:rPr>
            </w:pPr>
            <w:r w:rsidRPr="00816DDD">
              <w:rPr>
                <w:rFonts w:eastAsia="+mn-ea"/>
                <w:kern w:val="24"/>
                <w:sz w:val="20"/>
                <w:szCs w:val="20"/>
                <w:lang w:eastAsia="en-CA"/>
              </w:rPr>
              <w:t>Professional liability insurance</w:t>
            </w:r>
          </w:p>
        </w:tc>
        <w:tc>
          <w:tcPr>
            <w:tcW w:w="5580" w:type="dxa"/>
          </w:tcPr>
          <w:p w14:paraId="20139AD1" w14:textId="56B65147" w:rsidR="004F4881" w:rsidRPr="00816DDD" w:rsidRDefault="004F4881" w:rsidP="000E660D">
            <w:pPr>
              <w:ind w:right="-126"/>
              <w:rPr>
                <w:rFonts w:eastAsia="+mn-ea"/>
                <w:kern w:val="24"/>
                <w:sz w:val="20"/>
                <w:szCs w:val="20"/>
                <w:lang w:eastAsia="en-CA"/>
              </w:rPr>
            </w:pPr>
            <w:r w:rsidRPr="00816DDD">
              <w:rPr>
                <w:spacing w:val="1"/>
                <w:sz w:val="20"/>
                <w:szCs w:val="20"/>
                <w:shd w:val="clear" w:color="auto" w:fill="FFFFFF"/>
              </w:rPr>
              <w:t>P</w:t>
            </w:r>
            <w:r w:rsidRPr="00816DDD">
              <w:rPr>
                <w:rFonts w:hint="cs"/>
                <w:spacing w:val="1"/>
                <w:sz w:val="20"/>
                <w:szCs w:val="20"/>
                <w:shd w:val="clear" w:color="auto" w:fill="FFFFFF"/>
              </w:rPr>
              <w:t>rotects professionals such as accountants</w:t>
            </w:r>
            <w:r w:rsidRPr="00816DDD">
              <w:rPr>
                <w:spacing w:val="1"/>
                <w:sz w:val="20"/>
                <w:szCs w:val="20"/>
                <w:shd w:val="clear" w:color="auto" w:fill="FFFFFF"/>
              </w:rPr>
              <w:t xml:space="preserve"> or</w:t>
            </w:r>
            <w:r w:rsidRPr="00816DDD">
              <w:rPr>
                <w:rFonts w:hint="cs"/>
                <w:spacing w:val="1"/>
                <w:sz w:val="20"/>
                <w:szCs w:val="20"/>
                <w:shd w:val="clear" w:color="auto" w:fill="FFFFFF"/>
              </w:rPr>
              <w:t xml:space="preserve"> lawyers</w:t>
            </w:r>
            <w:r w:rsidRPr="00816DDD">
              <w:rPr>
                <w:spacing w:val="1"/>
                <w:sz w:val="20"/>
                <w:szCs w:val="20"/>
                <w:shd w:val="clear" w:color="auto" w:fill="FFFFFF"/>
              </w:rPr>
              <w:t xml:space="preserve"> </w:t>
            </w:r>
            <w:r w:rsidRPr="00816DDD">
              <w:rPr>
                <w:rFonts w:hint="cs"/>
                <w:spacing w:val="1"/>
                <w:sz w:val="20"/>
                <w:szCs w:val="20"/>
                <w:shd w:val="clear" w:color="auto" w:fill="FFFFFF"/>
              </w:rPr>
              <w:t xml:space="preserve">against </w:t>
            </w:r>
            <w:r w:rsidRPr="00816DDD">
              <w:rPr>
                <w:spacing w:val="1"/>
                <w:sz w:val="20"/>
                <w:szCs w:val="20"/>
                <w:shd w:val="clear" w:color="auto" w:fill="FFFFFF"/>
              </w:rPr>
              <w:t xml:space="preserve">loss, including legal costs, relating to </w:t>
            </w:r>
            <w:r w:rsidRPr="00816DDD">
              <w:rPr>
                <w:rFonts w:hint="cs"/>
                <w:spacing w:val="1"/>
                <w:sz w:val="20"/>
                <w:szCs w:val="20"/>
                <w:shd w:val="clear" w:color="auto" w:fill="FFFFFF"/>
              </w:rPr>
              <w:t>negligence and other claims initiated by clients</w:t>
            </w:r>
          </w:p>
        </w:tc>
      </w:tr>
      <w:tr w:rsidR="004F4881" w:rsidRPr="00816DDD" w14:paraId="29351C84" w14:textId="77777777" w:rsidTr="00570A3D">
        <w:tc>
          <w:tcPr>
            <w:tcW w:w="3775" w:type="dxa"/>
            <w:vAlign w:val="center"/>
          </w:tcPr>
          <w:p w14:paraId="7A2B288D" w14:textId="26A8AC4F" w:rsidR="004F4881" w:rsidRPr="00816DDD" w:rsidRDefault="004F4881" w:rsidP="000E660D">
            <w:pPr>
              <w:ind w:right="-126"/>
              <w:rPr>
                <w:rFonts w:eastAsia="+mn-ea"/>
                <w:kern w:val="24"/>
                <w:sz w:val="20"/>
                <w:szCs w:val="20"/>
                <w:lang w:eastAsia="en-CA"/>
              </w:rPr>
            </w:pPr>
            <w:r w:rsidRPr="00816DDD">
              <w:rPr>
                <w:rFonts w:eastAsia="+mn-ea"/>
                <w:kern w:val="24"/>
                <w:sz w:val="20"/>
                <w:szCs w:val="20"/>
                <w:lang w:eastAsia="en-CA"/>
              </w:rPr>
              <w:t>Errors and omissions insurance</w:t>
            </w:r>
          </w:p>
        </w:tc>
        <w:tc>
          <w:tcPr>
            <w:tcW w:w="5580" w:type="dxa"/>
          </w:tcPr>
          <w:p w14:paraId="64BFB2A4" w14:textId="5BEFD1B3" w:rsidR="004F4881" w:rsidRPr="00816DDD" w:rsidRDefault="004F4881" w:rsidP="000E660D">
            <w:pPr>
              <w:ind w:right="-126"/>
              <w:rPr>
                <w:rFonts w:eastAsia="+mn-ea"/>
                <w:kern w:val="24"/>
                <w:sz w:val="20"/>
                <w:szCs w:val="20"/>
                <w:lang w:eastAsia="en-CA"/>
              </w:rPr>
            </w:pPr>
            <w:r w:rsidRPr="00816DDD">
              <w:rPr>
                <w:rFonts w:eastAsia="+mn-ea"/>
                <w:kern w:val="24"/>
                <w:sz w:val="20"/>
                <w:szCs w:val="20"/>
                <w:lang w:eastAsia="en-CA"/>
              </w:rPr>
              <w:t>Protects any</w:t>
            </w:r>
            <w:r w:rsidR="00570A3D" w:rsidRPr="00816DDD">
              <w:rPr>
                <w:rFonts w:eastAsia="+mn-ea"/>
                <w:kern w:val="24"/>
                <w:sz w:val="20"/>
                <w:szCs w:val="20"/>
                <w:lang w:eastAsia="en-CA"/>
              </w:rPr>
              <w:t xml:space="preserve"> </w:t>
            </w:r>
            <w:r w:rsidRPr="00816DDD">
              <w:rPr>
                <w:rFonts w:eastAsia="+mn-ea"/>
                <w:kern w:val="24"/>
                <w:sz w:val="20"/>
                <w:szCs w:val="20"/>
                <w:lang w:eastAsia="en-CA"/>
              </w:rPr>
              <w:t>service</w:t>
            </w:r>
            <w:r w:rsidR="00570A3D" w:rsidRPr="00816DDD">
              <w:rPr>
                <w:rFonts w:eastAsia="+mn-ea"/>
                <w:kern w:val="24"/>
                <w:sz w:val="20"/>
                <w:szCs w:val="20"/>
                <w:lang w:eastAsia="en-CA"/>
              </w:rPr>
              <w:t xml:space="preserve"> provider</w:t>
            </w:r>
            <w:r w:rsidRPr="00816DDD">
              <w:rPr>
                <w:rFonts w:eastAsia="+mn-ea"/>
                <w:kern w:val="24"/>
                <w:sz w:val="20"/>
                <w:szCs w:val="20"/>
                <w:lang w:eastAsia="en-CA"/>
              </w:rPr>
              <w:t>, not just professionals, against claims of inadequate work or negligence by clients</w:t>
            </w:r>
          </w:p>
        </w:tc>
      </w:tr>
    </w:tbl>
    <w:p w14:paraId="1562CEEF" w14:textId="77777777" w:rsidR="004F4881" w:rsidRPr="00816DDD" w:rsidRDefault="004F4881" w:rsidP="003B2FBB">
      <w:pPr>
        <w:spacing w:after="0" w:line="240" w:lineRule="auto"/>
        <w:rPr>
          <w:rFonts w:eastAsia="+mn-ea"/>
          <w:kern w:val="24"/>
          <w:szCs w:val="24"/>
          <w:lang w:eastAsia="en-CA"/>
        </w:rPr>
      </w:pPr>
    </w:p>
    <w:p w14:paraId="14237572" w14:textId="1CD918FF" w:rsidR="00DE1A20" w:rsidRPr="00816DDD" w:rsidRDefault="00DE1A20" w:rsidP="00DE1A20">
      <w:pPr>
        <w:spacing w:after="0" w:line="240" w:lineRule="auto"/>
        <w:ind w:left="360"/>
        <w:rPr>
          <w:rFonts w:eastAsia="+mn-ea"/>
          <w:kern w:val="24"/>
          <w:szCs w:val="24"/>
          <w:lang w:eastAsia="en-CA"/>
        </w:rPr>
      </w:pPr>
      <w:r w:rsidRPr="00816DDD">
        <w:rPr>
          <w:rFonts w:eastAsia="+mn-ea" w:hint="cs"/>
          <w:b/>
          <w:bCs/>
          <w:kern w:val="24"/>
          <w:szCs w:val="24"/>
          <w:lang w:eastAsia="en-CA"/>
        </w:rPr>
        <w:t>Workers’ compensation insurance</w:t>
      </w:r>
      <w:r w:rsidR="0058265B" w:rsidRPr="00816DDD">
        <w:rPr>
          <w:rFonts w:eastAsia="+mn-ea"/>
          <w:b/>
          <w:bCs/>
          <w:kern w:val="24"/>
          <w:szCs w:val="24"/>
          <w:lang w:eastAsia="en-CA"/>
        </w:rPr>
        <w:t>.</w:t>
      </w:r>
      <w:r w:rsidR="0058265B" w:rsidRPr="00816DDD">
        <w:rPr>
          <w:rFonts w:eastAsia="+mn-ea"/>
          <w:kern w:val="24"/>
          <w:szCs w:val="24"/>
          <w:lang w:eastAsia="en-CA"/>
        </w:rPr>
        <w:t xml:space="preserve"> </w:t>
      </w:r>
      <w:r w:rsidR="00FF44A5" w:rsidRPr="00816DDD">
        <w:rPr>
          <w:rFonts w:eastAsia="+mn-ea"/>
          <w:kern w:val="24"/>
          <w:szCs w:val="24"/>
          <w:lang w:eastAsia="en-CA"/>
        </w:rPr>
        <w:t xml:space="preserve"> Covers the cost of </w:t>
      </w:r>
      <w:r w:rsidRPr="00816DDD">
        <w:rPr>
          <w:rFonts w:eastAsia="+mn-ea" w:hint="cs"/>
          <w:kern w:val="24"/>
          <w:szCs w:val="24"/>
          <w:lang w:eastAsia="en-CA"/>
        </w:rPr>
        <w:t>work-related injuries</w:t>
      </w:r>
      <w:r w:rsidR="00AA0B27">
        <w:rPr>
          <w:rFonts w:eastAsia="+mn-ea"/>
          <w:kern w:val="24"/>
          <w:szCs w:val="24"/>
          <w:lang w:eastAsia="en-CA"/>
        </w:rPr>
        <w:t>,</w:t>
      </w:r>
      <w:r w:rsidR="00FF44A5" w:rsidRPr="00816DDD">
        <w:rPr>
          <w:rFonts w:eastAsia="+mn-ea"/>
          <w:kern w:val="24"/>
          <w:szCs w:val="24"/>
          <w:lang w:eastAsia="en-CA"/>
        </w:rPr>
        <w:t xml:space="preserve"> including death benefits, short-term and long-term disability, medical care, and re-training.  Provincial governments in Canada are </w:t>
      </w:r>
      <w:r w:rsidR="00142B1B">
        <w:rPr>
          <w:rFonts w:eastAsia="+mn-ea"/>
          <w:kern w:val="24"/>
          <w:szCs w:val="24"/>
          <w:lang w:eastAsia="en-CA"/>
        </w:rPr>
        <w:t>responsible</w:t>
      </w:r>
      <w:r w:rsidR="00FF44A5" w:rsidRPr="00816DDD">
        <w:rPr>
          <w:rFonts w:eastAsia="+mn-ea"/>
          <w:kern w:val="24"/>
          <w:szCs w:val="24"/>
          <w:lang w:eastAsia="en-CA"/>
        </w:rPr>
        <w:t xml:space="preserve"> for workers’ compensation insurance to ensure all employees are </w:t>
      </w:r>
      <w:r w:rsidR="00333823">
        <w:rPr>
          <w:rFonts w:eastAsia="+mn-ea"/>
          <w:kern w:val="24"/>
          <w:szCs w:val="24"/>
          <w:lang w:eastAsia="en-CA"/>
        </w:rPr>
        <w:t>adequately</w:t>
      </w:r>
      <w:r w:rsidR="00FF44A5" w:rsidRPr="00816DDD">
        <w:rPr>
          <w:rFonts w:eastAsia="+mn-ea"/>
          <w:kern w:val="24"/>
          <w:szCs w:val="24"/>
          <w:lang w:eastAsia="en-CA"/>
        </w:rPr>
        <w:t xml:space="preserve"> covered and that employers provide a safe and healthy work </w:t>
      </w:r>
      <w:r w:rsidR="00FF44A5" w:rsidRPr="00816DDD">
        <w:rPr>
          <w:rFonts w:eastAsia="+mn-ea"/>
          <w:kern w:val="24"/>
          <w:szCs w:val="24"/>
          <w:lang w:eastAsia="en-CA"/>
        </w:rPr>
        <w:lastRenderedPageBreak/>
        <w:t xml:space="preserve">environment.  Premiums are determined by the employer’s industry and safety record.  Employers cannot ask the employee to pay any portion of the premium, but employees give up the right to sue the employer except in </w:t>
      </w:r>
      <w:r w:rsidR="00333823">
        <w:rPr>
          <w:rFonts w:eastAsia="+mn-ea"/>
          <w:kern w:val="24"/>
          <w:szCs w:val="24"/>
          <w:lang w:eastAsia="en-CA"/>
        </w:rPr>
        <w:t>exceptional</w:t>
      </w:r>
      <w:r w:rsidR="00FF44A5" w:rsidRPr="00816DDD">
        <w:rPr>
          <w:rFonts w:eastAsia="+mn-ea"/>
          <w:kern w:val="24"/>
          <w:szCs w:val="24"/>
          <w:lang w:eastAsia="en-CA"/>
        </w:rPr>
        <w:t xml:space="preserve"> cases.</w:t>
      </w:r>
    </w:p>
    <w:p w14:paraId="2CCB14C1" w14:textId="77777777" w:rsidR="00DE1A20" w:rsidRPr="00816DDD" w:rsidRDefault="00DE1A20" w:rsidP="000E660D">
      <w:pPr>
        <w:spacing w:after="0" w:line="240" w:lineRule="auto"/>
        <w:ind w:left="360"/>
        <w:rPr>
          <w:rFonts w:eastAsia="+mn-ea"/>
          <w:kern w:val="24"/>
          <w:szCs w:val="24"/>
          <w:lang w:eastAsia="en-CA"/>
        </w:rPr>
      </w:pPr>
    </w:p>
    <w:p w14:paraId="15880462" w14:textId="2F860044" w:rsidR="00FD6C74" w:rsidRPr="00816DDD" w:rsidRDefault="003B2FBB" w:rsidP="00B81FE3">
      <w:pPr>
        <w:spacing w:after="0" w:line="240" w:lineRule="auto"/>
        <w:ind w:left="360" w:right="-306"/>
        <w:textAlignment w:val="baseline"/>
        <w:rPr>
          <w:rFonts w:eastAsia="+mn-ea"/>
          <w:kern w:val="24"/>
          <w:szCs w:val="24"/>
          <w:lang w:eastAsia="en-CA"/>
        </w:rPr>
      </w:pPr>
      <w:r w:rsidRPr="00816DDD">
        <w:rPr>
          <w:rFonts w:eastAsia="+mn-ea"/>
          <w:b/>
          <w:bCs/>
          <w:kern w:val="24"/>
          <w:szCs w:val="24"/>
          <w:lang w:eastAsia="en-CA"/>
        </w:rPr>
        <w:t>Vehicle insurance.</w:t>
      </w:r>
      <w:r w:rsidR="00FF44A5" w:rsidRPr="00816DDD">
        <w:rPr>
          <w:rFonts w:eastAsia="+mn-ea"/>
          <w:b/>
          <w:bCs/>
          <w:kern w:val="24"/>
          <w:szCs w:val="24"/>
          <w:lang w:eastAsia="en-CA"/>
        </w:rPr>
        <w:t xml:space="preserve">  </w:t>
      </w:r>
      <w:r w:rsidR="00FF44A5" w:rsidRPr="00816DDD">
        <w:rPr>
          <w:rFonts w:eastAsia="+mn-ea"/>
          <w:kern w:val="24"/>
          <w:szCs w:val="24"/>
          <w:lang w:eastAsia="en-CA"/>
        </w:rPr>
        <w:t>Covers the cost of vehicle accidents</w:t>
      </w:r>
      <w:r w:rsidR="00AA0B27">
        <w:rPr>
          <w:rFonts w:eastAsia="+mn-ea"/>
          <w:kern w:val="24"/>
          <w:szCs w:val="24"/>
          <w:lang w:eastAsia="en-CA"/>
        </w:rPr>
        <w:t>,</w:t>
      </w:r>
      <w:r w:rsidR="00FF44A5" w:rsidRPr="00816DDD">
        <w:rPr>
          <w:rFonts w:eastAsia="+mn-ea"/>
          <w:kern w:val="24"/>
          <w:szCs w:val="24"/>
          <w:lang w:eastAsia="en-CA"/>
        </w:rPr>
        <w:t xml:space="preserve"> including the loss or damage of the vehicle, death benefits, short-term and long-term disability, medical care, and third-party liability</w:t>
      </w:r>
      <w:r w:rsidR="002152C9">
        <w:rPr>
          <w:rFonts w:eastAsia="+mn-ea"/>
          <w:kern w:val="24"/>
          <w:szCs w:val="24"/>
          <w:lang w:eastAsia="en-CA"/>
        </w:rPr>
        <w:t>,</w:t>
      </w:r>
      <w:r w:rsidR="00FF44A5" w:rsidRPr="00816DDD">
        <w:rPr>
          <w:rFonts w:eastAsia="+mn-ea"/>
          <w:kern w:val="24"/>
          <w:szCs w:val="24"/>
          <w:lang w:eastAsia="en-CA"/>
        </w:rPr>
        <w:t xml:space="preserve"> as well as theft, vandalism, and weather-related damages.  Auto insurance is controlled by the provinces</w:t>
      </w:r>
      <w:r w:rsidR="002152C9">
        <w:rPr>
          <w:rFonts w:eastAsia="+mn-ea"/>
          <w:kern w:val="24"/>
          <w:szCs w:val="24"/>
          <w:lang w:eastAsia="en-CA"/>
        </w:rPr>
        <w:t>,</w:t>
      </w:r>
      <w:r w:rsidR="00FF44A5" w:rsidRPr="00816DDD">
        <w:rPr>
          <w:rFonts w:eastAsia="+mn-ea"/>
          <w:kern w:val="24"/>
          <w:szCs w:val="24"/>
          <w:lang w:eastAsia="en-CA"/>
        </w:rPr>
        <w:t xml:space="preserve"> and </w:t>
      </w:r>
      <w:r w:rsidR="002152C9">
        <w:rPr>
          <w:rFonts w:eastAsia="+mn-ea"/>
          <w:kern w:val="24"/>
          <w:szCs w:val="24"/>
          <w:lang w:eastAsia="en-CA"/>
        </w:rPr>
        <w:t xml:space="preserve">it </w:t>
      </w:r>
      <w:r w:rsidR="00AA0B27">
        <w:rPr>
          <w:rFonts w:eastAsia="+mn-ea"/>
          <w:kern w:val="24"/>
          <w:szCs w:val="24"/>
          <w:lang w:eastAsia="en-CA"/>
        </w:rPr>
        <w:t xml:space="preserve">is </w:t>
      </w:r>
      <w:r w:rsidR="00FF44A5" w:rsidRPr="00816DDD">
        <w:rPr>
          <w:rFonts w:eastAsia="+mn-ea"/>
          <w:kern w:val="24"/>
          <w:szCs w:val="24"/>
          <w:lang w:eastAsia="en-CA"/>
        </w:rPr>
        <w:t>mandatory in every province.  Plans are administered publicly, privately or using a hybrid of the two systems, but each province still determines the required coverage and the options for additional insurance.  Each province has adopted some form of no-fault system where policyholders only deal with their insurance providers and receive benefits quickly</w:t>
      </w:r>
      <w:r w:rsidR="00AA0B27">
        <w:rPr>
          <w:rFonts w:eastAsia="+mn-ea"/>
          <w:kern w:val="24"/>
          <w:szCs w:val="24"/>
          <w:lang w:eastAsia="en-CA"/>
        </w:rPr>
        <w:t>,</w:t>
      </w:r>
      <w:r w:rsidR="00FF44A5" w:rsidRPr="00816DDD">
        <w:rPr>
          <w:rFonts w:eastAsia="+mn-ea"/>
          <w:kern w:val="24"/>
          <w:szCs w:val="24"/>
          <w:lang w:eastAsia="en-CA"/>
        </w:rPr>
        <w:t xml:space="preserve"> as there is no need to wait to find out which driver is at fault.  In </w:t>
      </w:r>
      <w:r w:rsidR="00142B1B">
        <w:rPr>
          <w:rFonts w:eastAsia="+mn-ea"/>
          <w:kern w:val="24"/>
          <w:szCs w:val="24"/>
          <w:lang w:eastAsia="en-CA"/>
        </w:rPr>
        <w:t xml:space="preserve">a </w:t>
      </w:r>
      <w:r w:rsidR="00FF44A5" w:rsidRPr="00816DDD">
        <w:rPr>
          <w:rFonts w:eastAsia="+mn-ea"/>
          <w:kern w:val="24"/>
          <w:szCs w:val="24"/>
          <w:lang w:eastAsia="en-CA"/>
        </w:rPr>
        <w:t>public insurance system, lawyers and long court proceedings are also eliminated as plan administrators determine the benefits to be received using set policies and coverage limits</w:t>
      </w:r>
      <w:r w:rsidR="00AA0B27">
        <w:rPr>
          <w:rFonts w:eastAsia="+mn-ea"/>
          <w:kern w:val="24"/>
          <w:szCs w:val="24"/>
          <w:lang w:eastAsia="en-CA"/>
        </w:rPr>
        <w:t>,</w:t>
      </w:r>
      <w:r w:rsidR="00FF44A5" w:rsidRPr="00816DDD">
        <w:rPr>
          <w:rFonts w:eastAsia="+mn-ea"/>
          <w:kern w:val="24"/>
          <w:szCs w:val="24"/>
          <w:lang w:eastAsia="en-CA"/>
        </w:rPr>
        <w:t xml:space="preserve"> resulting in much lower premiums</w:t>
      </w:r>
      <w:r w:rsidR="0034328F" w:rsidRPr="00816DDD">
        <w:rPr>
          <w:rFonts w:eastAsia="+mn-ea"/>
          <w:kern w:val="24"/>
          <w:szCs w:val="24"/>
          <w:lang w:eastAsia="en-CA"/>
        </w:rPr>
        <w:t xml:space="preserve"> overall</w:t>
      </w:r>
      <w:r w:rsidR="00FF44A5" w:rsidRPr="00816DDD">
        <w:rPr>
          <w:rFonts w:eastAsia="+mn-ea"/>
          <w:kern w:val="24"/>
          <w:szCs w:val="24"/>
          <w:lang w:eastAsia="en-CA"/>
        </w:rPr>
        <w:t xml:space="preserve">.  Drivers found at fault are still penalized by higher </w:t>
      </w:r>
      <w:r w:rsidR="0034328F" w:rsidRPr="00816DDD">
        <w:rPr>
          <w:rFonts w:eastAsia="+mn-ea"/>
          <w:kern w:val="24"/>
          <w:szCs w:val="24"/>
          <w:lang w:eastAsia="en-CA"/>
        </w:rPr>
        <w:t xml:space="preserve">individual </w:t>
      </w:r>
      <w:r w:rsidR="00FF44A5" w:rsidRPr="00816DDD">
        <w:rPr>
          <w:rFonts w:eastAsia="+mn-ea"/>
          <w:kern w:val="24"/>
          <w:szCs w:val="24"/>
          <w:lang w:eastAsia="en-CA"/>
        </w:rPr>
        <w:t>premiums.</w:t>
      </w:r>
    </w:p>
    <w:p w14:paraId="7D6AEC8C" w14:textId="77777777" w:rsidR="00FF44A5" w:rsidRPr="00816DDD" w:rsidRDefault="00FF44A5" w:rsidP="00FF44A5">
      <w:pPr>
        <w:spacing w:after="0" w:line="240" w:lineRule="auto"/>
        <w:textAlignment w:val="baseline"/>
        <w:rPr>
          <w:rFonts w:eastAsia="+mn-ea"/>
          <w:kern w:val="24"/>
          <w:szCs w:val="24"/>
          <w:lang w:eastAsia="en-CA"/>
        </w:rPr>
      </w:pPr>
    </w:p>
    <w:p w14:paraId="0E13E0DA" w14:textId="19CE1AB8" w:rsidR="0058265B" w:rsidRPr="00816DDD" w:rsidRDefault="00902A40" w:rsidP="00FD6C74">
      <w:pPr>
        <w:spacing w:after="0" w:line="240" w:lineRule="auto"/>
        <w:ind w:left="360"/>
        <w:textAlignment w:val="baseline"/>
        <w:rPr>
          <w:rFonts w:eastAsia="+mn-ea"/>
          <w:szCs w:val="24"/>
          <w:lang w:val="en-CA" w:eastAsia="en-CA"/>
        </w:rPr>
      </w:pPr>
      <w:r w:rsidRPr="00816DDD">
        <w:rPr>
          <w:rFonts w:eastAsia="+mn-ea" w:hint="cs"/>
          <w:b/>
          <w:bCs/>
          <w:kern w:val="24"/>
          <w:szCs w:val="24"/>
          <w:lang w:eastAsia="en-CA"/>
        </w:rPr>
        <w:t>Key person insurance</w:t>
      </w:r>
      <w:r w:rsidR="008648BA" w:rsidRPr="00816DDD">
        <w:rPr>
          <w:rFonts w:eastAsia="+mn-ea"/>
          <w:kern w:val="24"/>
          <w:szCs w:val="24"/>
          <w:lang w:eastAsia="en-CA"/>
        </w:rPr>
        <w:t xml:space="preserve">.  </w:t>
      </w:r>
      <w:r w:rsidR="008648BA" w:rsidRPr="00816DDD">
        <w:rPr>
          <w:rFonts w:eastAsia="+mn-ea"/>
          <w:szCs w:val="24"/>
          <w:lang w:val="en-CA" w:eastAsia="en-CA"/>
        </w:rPr>
        <w:t>Protects a business from</w:t>
      </w:r>
      <w:r w:rsidR="0058265B" w:rsidRPr="00816DDD">
        <w:rPr>
          <w:rFonts w:eastAsia="+mn-ea"/>
          <w:szCs w:val="24"/>
          <w:lang w:val="en-CA" w:eastAsia="en-CA"/>
        </w:rPr>
        <w:t xml:space="preserve"> losses due to</w:t>
      </w:r>
      <w:r w:rsidR="008648BA" w:rsidRPr="00816DDD">
        <w:rPr>
          <w:rFonts w:eastAsia="+mn-ea"/>
          <w:szCs w:val="24"/>
          <w:lang w:val="en-CA" w:eastAsia="en-CA"/>
        </w:rPr>
        <w:t xml:space="preserve"> the death or disability of a business owner or employee who is crucial to the operation and success of the </w:t>
      </w:r>
      <w:r w:rsidR="002152C9">
        <w:rPr>
          <w:rFonts w:eastAsia="+mn-ea"/>
          <w:szCs w:val="24"/>
          <w:lang w:val="en-CA" w:eastAsia="en-CA"/>
        </w:rPr>
        <w:t>company</w:t>
      </w:r>
      <w:r w:rsidR="008648BA" w:rsidRPr="00816DDD">
        <w:rPr>
          <w:rFonts w:eastAsia="+mn-ea"/>
          <w:szCs w:val="24"/>
          <w:lang w:val="en-CA" w:eastAsia="en-CA"/>
        </w:rPr>
        <w:t xml:space="preserve">. </w:t>
      </w:r>
      <w:r w:rsidR="0058265B" w:rsidRPr="00816DDD">
        <w:rPr>
          <w:rFonts w:eastAsia="+mn-ea"/>
          <w:szCs w:val="24"/>
          <w:lang w:val="en-CA" w:eastAsia="en-CA"/>
        </w:rPr>
        <w:t>The proceeds</w:t>
      </w:r>
      <w:r w:rsidR="00F26AC6" w:rsidRPr="00816DDD">
        <w:rPr>
          <w:rFonts w:eastAsia="+mn-ea"/>
          <w:szCs w:val="24"/>
          <w:lang w:val="en-CA" w:eastAsia="en-CA"/>
        </w:rPr>
        <w:t xml:space="preserve"> can</w:t>
      </w:r>
      <w:r w:rsidR="0058265B" w:rsidRPr="00816DDD">
        <w:rPr>
          <w:rFonts w:eastAsia="+mn-ea"/>
          <w:szCs w:val="24"/>
          <w:lang w:val="en-CA" w:eastAsia="en-CA"/>
        </w:rPr>
        <w:t xml:space="preserve"> be used to hire temporary replacements or recruit and train new staff; replace lost profits; pay off </w:t>
      </w:r>
      <w:r w:rsidR="0034328F" w:rsidRPr="00816DDD">
        <w:rPr>
          <w:rFonts w:eastAsia="+mn-ea"/>
          <w:szCs w:val="24"/>
          <w:lang w:val="en-CA" w:eastAsia="en-CA"/>
        </w:rPr>
        <w:t xml:space="preserve">lenders </w:t>
      </w:r>
      <w:r w:rsidR="0058265B" w:rsidRPr="00816DDD">
        <w:rPr>
          <w:rFonts w:eastAsia="+mn-ea"/>
          <w:szCs w:val="24"/>
          <w:lang w:val="en-CA" w:eastAsia="en-CA"/>
        </w:rPr>
        <w:t>or loan guarantors</w:t>
      </w:r>
      <w:r w:rsidR="0034328F" w:rsidRPr="00816DDD">
        <w:rPr>
          <w:rFonts w:eastAsia="+mn-ea"/>
          <w:szCs w:val="24"/>
          <w:lang w:val="en-CA" w:eastAsia="en-CA"/>
        </w:rPr>
        <w:t xml:space="preserve"> when required by credit agreements</w:t>
      </w:r>
      <w:r w:rsidR="0058265B" w:rsidRPr="00816DDD">
        <w:rPr>
          <w:rFonts w:eastAsia="+mn-ea"/>
          <w:szCs w:val="24"/>
          <w:lang w:val="en-CA" w:eastAsia="en-CA"/>
        </w:rPr>
        <w:t xml:space="preserve">; fund severance benefits for workers if </w:t>
      </w:r>
      <w:r w:rsidR="0033153B" w:rsidRPr="00816DDD">
        <w:rPr>
          <w:rFonts w:eastAsia="+mn-ea"/>
          <w:szCs w:val="24"/>
          <w:lang w:val="en-CA" w:eastAsia="en-CA"/>
        </w:rPr>
        <w:t>t</w:t>
      </w:r>
      <w:r w:rsidR="0058265B" w:rsidRPr="00816DDD">
        <w:rPr>
          <w:rFonts w:eastAsia="+mn-ea"/>
          <w:szCs w:val="24"/>
          <w:lang w:val="en-CA" w:eastAsia="en-CA"/>
        </w:rPr>
        <w:t>he business is closed; and help existing partners or shareholders buy out the key person’s share of the company.</w:t>
      </w:r>
    </w:p>
    <w:p w14:paraId="567EE8E4" w14:textId="77777777" w:rsidR="00FD6C74" w:rsidRPr="00816DDD" w:rsidRDefault="00FD6C74" w:rsidP="00FD6C74">
      <w:pPr>
        <w:spacing w:after="0" w:line="240" w:lineRule="auto"/>
        <w:ind w:left="360"/>
        <w:rPr>
          <w:rFonts w:eastAsia="+mn-ea"/>
          <w:b/>
          <w:bCs/>
          <w:kern w:val="24"/>
          <w:szCs w:val="24"/>
          <w:lang w:eastAsia="en-CA"/>
        </w:rPr>
      </w:pPr>
    </w:p>
    <w:p w14:paraId="7C692097" w14:textId="28458435" w:rsidR="00CF4DD8" w:rsidRPr="00816DDD" w:rsidRDefault="00902A40" w:rsidP="00FD6C74">
      <w:pPr>
        <w:spacing w:after="0" w:line="240" w:lineRule="auto"/>
        <w:ind w:left="360"/>
        <w:rPr>
          <w:rFonts w:eastAsia="+mn-ea"/>
          <w:kern w:val="24"/>
          <w:szCs w:val="24"/>
          <w:lang w:eastAsia="en-CA"/>
        </w:rPr>
      </w:pPr>
      <w:r w:rsidRPr="00816DDD">
        <w:rPr>
          <w:rFonts w:eastAsia="+mn-ea" w:hint="cs"/>
          <w:b/>
          <w:bCs/>
          <w:kern w:val="24"/>
          <w:szCs w:val="24"/>
          <w:lang w:eastAsia="en-CA"/>
        </w:rPr>
        <w:t>Business interruption insurance</w:t>
      </w:r>
      <w:r w:rsidR="00A5062F" w:rsidRPr="00816DDD">
        <w:rPr>
          <w:rFonts w:eastAsia="+mn-ea"/>
          <w:b/>
          <w:bCs/>
          <w:kern w:val="24"/>
          <w:szCs w:val="24"/>
          <w:lang w:eastAsia="en-CA"/>
        </w:rPr>
        <w:t>.</w:t>
      </w:r>
      <w:r w:rsidR="00A5062F" w:rsidRPr="00816DDD">
        <w:rPr>
          <w:rFonts w:eastAsia="+mn-ea"/>
          <w:kern w:val="24"/>
          <w:szCs w:val="24"/>
          <w:lang w:eastAsia="en-CA"/>
        </w:rPr>
        <w:t xml:space="preserve">  </w:t>
      </w:r>
      <w:r w:rsidR="00561078" w:rsidRPr="00816DDD">
        <w:rPr>
          <w:rFonts w:eastAsia="+mn-ea"/>
          <w:kern w:val="24"/>
          <w:szCs w:val="24"/>
          <w:lang w:eastAsia="en-CA"/>
        </w:rPr>
        <w:t>Compensates businesses for</w:t>
      </w:r>
      <w:r w:rsidR="00651347" w:rsidRPr="00816DDD">
        <w:rPr>
          <w:rFonts w:eastAsia="+mn-ea"/>
          <w:kern w:val="24"/>
          <w:szCs w:val="24"/>
          <w:lang w:eastAsia="en-CA"/>
        </w:rPr>
        <w:t xml:space="preserve"> </w:t>
      </w:r>
      <w:r w:rsidR="0033153B" w:rsidRPr="00816DDD">
        <w:rPr>
          <w:rFonts w:eastAsia="+mn-ea"/>
          <w:kern w:val="24"/>
          <w:szCs w:val="24"/>
          <w:lang w:eastAsia="en-CA"/>
        </w:rPr>
        <w:t xml:space="preserve">lost profits </w:t>
      </w:r>
      <w:r w:rsidR="00A5062F" w:rsidRPr="00816DDD">
        <w:rPr>
          <w:rFonts w:eastAsia="+mn-ea"/>
          <w:kern w:val="24"/>
          <w:szCs w:val="24"/>
          <w:lang w:eastAsia="en-CA"/>
        </w:rPr>
        <w:t xml:space="preserve">and </w:t>
      </w:r>
      <w:r w:rsidR="0033153B" w:rsidRPr="00816DDD">
        <w:rPr>
          <w:rFonts w:eastAsia="+mn-ea"/>
          <w:kern w:val="24"/>
          <w:szCs w:val="24"/>
          <w:lang w:eastAsia="en-CA"/>
        </w:rPr>
        <w:t>extra</w:t>
      </w:r>
      <w:r w:rsidR="00A5062F" w:rsidRPr="00816DDD">
        <w:rPr>
          <w:rFonts w:eastAsia="+mn-ea"/>
          <w:kern w:val="24"/>
          <w:szCs w:val="24"/>
          <w:lang w:eastAsia="en-CA"/>
        </w:rPr>
        <w:t xml:space="preserve"> expenses incurred</w:t>
      </w:r>
      <w:r w:rsidR="0033153B" w:rsidRPr="00816DDD">
        <w:rPr>
          <w:rFonts w:eastAsia="+mn-ea"/>
          <w:kern w:val="24"/>
          <w:szCs w:val="24"/>
          <w:lang w:eastAsia="en-CA"/>
        </w:rPr>
        <w:t xml:space="preserve"> </w:t>
      </w:r>
      <w:r w:rsidR="00751BCA" w:rsidRPr="00816DDD">
        <w:rPr>
          <w:rFonts w:eastAsia="+mn-ea" w:hint="cs"/>
          <w:kern w:val="24"/>
          <w:szCs w:val="24"/>
          <w:lang w:eastAsia="en-CA"/>
        </w:rPr>
        <w:t xml:space="preserve">during </w:t>
      </w:r>
      <w:r w:rsidR="0033153B" w:rsidRPr="00816DDD">
        <w:rPr>
          <w:rFonts w:eastAsia="+mn-ea"/>
          <w:kern w:val="24"/>
          <w:szCs w:val="24"/>
          <w:lang w:eastAsia="en-CA"/>
        </w:rPr>
        <w:t xml:space="preserve">an </w:t>
      </w:r>
      <w:r w:rsidR="00751BCA" w:rsidRPr="00816DDD">
        <w:rPr>
          <w:rFonts w:eastAsia="+mn-ea" w:hint="cs"/>
          <w:kern w:val="24"/>
          <w:szCs w:val="24"/>
          <w:lang w:eastAsia="en-CA"/>
        </w:rPr>
        <w:t>insured event</w:t>
      </w:r>
      <w:r w:rsidR="00AA0B27">
        <w:rPr>
          <w:rFonts w:eastAsia="+mn-ea"/>
          <w:kern w:val="24"/>
          <w:szCs w:val="24"/>
          <w:lang w:eastAsia="en-CA"/>
        </w:rPr>
        <w:t>,</w:t>
      </w:r>
      <w:r w:rsidR="00751BCA" w:rsidRPr="00816DDD">
        <w:rPr>
          <w:rFonts w:eastAsia="+mn-ea" w:hint="cs"/>
          <w:kern w:val="24"/>
          <w:szCs w:val="24"/>
          <w:lang w:eastAsia="en-CA"/>
        </w:rPr>
        <w:t xml:space="preserve"> </w:t>
      </w:r>
      <w:r w:rsidR="0033153B" w:rsidRPr="00816DDD">
        <w:rPr>
          <w:rFonts w:eastAsia="+mn-ea"/>
          <w:kern w:val="24"/>
          <w:szCs w:val="24"/>
          <w:lang w:eastAsia="en-CA"/>
        </w:rPr>
        <w:t>such as a fire</w:t>
      </w:r>
      <w:r w:rsidR="0034328F" w:rsidRPr="00816DDD">
        <w:rPr>
          <w:rFonts w:eastAsia="+mn-ea"/>
          <w:kern w:val="24"/>
          <w:szCs w:val="24"/>
          <w:lang w:eastAsia="en-CA"/>
        </w:rPr>
        <w:t xml:space="preserve"> or </w:t>
      </w:r>
      <w:r w:rsidR="00D235B9" w:rsidRPr="00816DDD">
        <w:rPr>
          <w:rFonts w:eastAsia="+mn-ea"/>
          <w:kern w:val="24"/>
          <w:szCs w:val="24"/>
          <w:lang w:eastAsia="en-CA"/>
        </w:rPr>
        <w:t>flood,</w:t>
      </w:r>
      <w:r w:rsidR="00F26AC6" w:rsidRPr="00816DDD">
        <w:rPr>
          <w:rFonts w:eastAsia="+mn-ea"/>
          <w:kern w:val="24"/>
          <w:szCs w:val="24"/>
          <w:lang w:eastAsia="en-CA"/>
        </w:rPr>
        <w:t xml:space="preserve"> and may </w:t>
      </w:r>
      <w:r w:rsidR="00FD6C74" w:rsidRPr="00816DDD">
        <w:rPr>
          <w:rFonts w:eastAsia="+mn-ea"/>
          <w:kern w:val="24"/>
          <w:szCs w:val="24"/>
          <w:lang w:eastAsia="en-CA"/>
        </w:rPr>
        <w:t xml:space="preserve">be </w:t>
      </w:r>
      <w:r w:rsidR="0033153B" w:rsidRPr="00816DDD">
        <w:rPr>
          <w:rFonts w:eastAsia="+mn-ea"/>
          <w:kern w:val="24"/>
          <w:szCs w:val="24"/>
          <w:lang w:eastAsia="en-CA"/>
        </w:rPr>
        <w:t xml:space="preserve">extended to </w:t>
      </w:r>
      <w:r w:rsidR="00F26AC6" w:rsidRPr="00816DDD">
        <w:rPr>
          <w:rFonts w:eastAsia="+mn-ea"/>
          <w:kern w:val="24"/>
          <w:szCs w:val="24"/>
          <w:lang w:eastAsia="en-CA"/>
        </w:rPr>
        <w:t xml:space="preserve">include losses </w:t>
      </w:r>
      <w:r w:rsidR="0033153B" w:rsidRPr="00816DDD">
        <w:rPr>
          <w:rFonts w:eastAsia="+mn-ea"/>
          <w:kern w:val="24"/>
          <w:szCs w:val="24"/>
          <w:lang w:eastAsia="en-CA"/>
        </w:rPr>
        <w:t xml:space="preserve">caused by a similar disruption </w:t>
      </w:r>
      <w:r w:rsidR="00431C3F" w:rsidRPr="00816DDD">
        <w:rPr>
          <w:rFonts w:eastAsia="+mn-ea"/>
          <w:kern w:val="24"/>
          <w:szCs w:val="24"/>
          <w:lang w:eastAsia="en-CA"/>
        </w:rPr>
        <w:t>to</w:t>
      </w:r>
      <w:r w:rsidR="0033153B" w:rsidRPr="00816DDD">
        <w:rPr>
          <w:rFonts w:eastAsia="+mn-ea"/>
          <w:kern w:val="24"/>
          <w:szCs w:val="24"/>
          <w:lang w:eastAsia="en-CA"/>
        </w:rPr>
        <w:t xml:space="preserve"> a customer or supplier.</w:t>
      </w:r>
      <w:r w:rsidR="00F26AC6" w:rsidRPr="00816DDD">
        <w:rPr>
          <w:rFonts w:eastAsia="+mn-ea"/>
          <w:kern w:val="24"/>
          <w:szCs w:val="24"/>
          <w:lang w:eastAsia="en-CA"/>
        </w:rPr>
        <w:t xml:space="preserve">  This type of insurance is important to companies with extensive retail or manufacturing operations.</w:t>
      </w:r>
    </w:p>
    <w:p w14:paraId="4A3BB20A" w14:textId="77777777" w:rsidR="0033153B" w:rsidRPr="00816DDD" w:rsidRDefault="0033153B" w:rsidP="00FD6C74">
      <w:pPr>
        <w:spacing w:after="0" w:line="240" w:lineRule="auto"/>
        <w:rPr>
          <w:rFonts w:eastAsia="+mn-ea"/>
          <w:kern w:val="24"/>
          <w:szCs w:val="24"/>
          <w:lang w:eastAsia="en-CA"/>
        </w:rPr>
      </w:pPr>
    </w:p>
    <w:p w14:paraId="7CA7C33B" w14:textId="4C623D42" w:rsidR="00CA4F68" w:rsidRPr="00816DDD" w:rsidRDefault="0058265B" w:rsidP="0051511B">
      <w:pPr>
        <w:spacing w:after="0" w:line="240" w:lineRule="auto"/>
        <w:ind w:left="360" w:right="-216"/>
        <w:rPr>
          <w:rFonts w:eastAsia="+mn-ea"/>
          <w:kern w:val="24"/>
          <w:szCs w:val="24"/>
          <w:lang w:eastAsia="en-CA"/>
        </w:rPr>
      </w:pPr>
      <w:r w:rsidRPr="00816DDD">
        <w:rPr>
          <w:rFonts w:eastAsia="+mn-ea"/>
          <w:b/>
          <w:bCs/>
          <w:kern w:val="24"/>
          <w:szCs w:val="24"/>
          <w:lang w:eastAsia="en-CA"/>
        </w:rPr>
        <w:t>Export insurance.</w:t>
      </w:r>
      <w:r w:rsidRPr="00816DDD">
        <w:rPr>
          <w:rFonts w:eastAsia="+mn-ea"/>
          <w:kern w:val="24"/>
          <w:szCs w:val="24"/>
          <w:lang w:eastAsia="en-CA"/>
        </w:rPr>
        <w:t xml:space="preserve"> </w:t>
      </w:r>
      <w:r w:rsidR="00142B1B">
        <w:rPr>
          <w:rFonts w:eastAsia="+mn-ea"/>
          <w:kern w:val="24"/>
          <w:szCs w:val="24"/>
          <w:lang w:eastAsia="en-CA"/>
        </w:rPr>
        <w:t>The Government</w:t>
      </w:r>
      <w:r w:rsidRPr="00816DDD">
        <w:rPr>
          <w:rFonts w:eastAsia="+mn-ea"/>
          <w:kern w:val="24"/>
          <w:szCs w:val="24"/>
          <w:lang w:eastAsia="en-CA"/>
        </w:rPr>
        <w:t xml:space="preserve"> of Canada’s </w:t>
      </w:r>
      <w:r w:rsidR="006045FD" w:rsidRPr="00816DDD">
        <w:rPr>
          <w:rFonts w:eastAsia="+mn-ea" w:hint="cs"/>
          <w:kern w:val="24"/>
          <w:szCs w:val="24"/>
          <w:lang w:eastAsia="en-CA"/>
        </w:rPr>
        <w:t>Export Development Corporation (EDC) offers insurance relating to export sales and foreign operations.</w:t>
      </w:r>
      <w:r w:rsidR="00CA4F68" w:rsidRPr="00816DDD">
        <w:rPr>
          <w:rFonts w:eastAsia="+mn-ea"/>
          <w:kern w:val="24"/>
          <w:szCs w:val="24"/>
          <w:lang w:eastAsia="en-CA"/>
        </w:rPr>
        <w:t xml:space="preserve"> </w:t>
      </w:r>
      <w:r w:rsidR="005B2586" w:rsidRPr="00816DDD">
        <w:rPr>
          <w:rFonts w:eastAsia="+mn-ea"/>
          <w:szCs w:val="24"/>
          <w:lang w:val="en-CA"/>
        </w:rPr>
        <w:t xml:space="preserve">Insurable losses </w:t>
      </w:r>
      <w:r w:rsidR="00CA4F68" w:rsidRPr="00816DDD">
        <w:rPr>
          <w:rFonts w:eastAsia="+mn-ea" w:hint="cs"/>
          <w:szCs w:val="24"/>
          <w:lang w:val="en-CA"/>
        </w:rPr>
        <w:t>can result from:</w:t>
      </w:r>
    </w:p>
    <w:p w14:paraId="4AF9B395" w14:textId="77777777" w:rsidR="00CA4F68" w:rsidRPr="00816DDD" w:rsidRDefault="00CA4F68" w:rsidP="0058265B">
      <w:pPr>
        <w:spacing w:after="0" w:line="240" w:lineRule="auto"/>
        <w:ind w:left="360"/>
        <w:contextualSpacing/>
        <w:textAlignment w:val="baseline"/>
        <w:rPr>
          <w:rFonts w:eastAsia="+mn-ea"/>
          <w:szCs w:val="24"/>
          <w:lang w:val="en-CA"/>
        </w:rPr>
      </w:pPr>
    </w:p>
    <w:p w14:paraId="102B5F5A" w14:textId="151A1F74" w:rsidR="005B2586" w:rsidRPr="00816DDD" w:rsidRDefault="00431C3F" w:rsidP="0058265B">
      <w:pPr>
        <w:numPr>
          <w:ilvl w:val="0"/>
          <w:numId w:val="3"/>
        </w:numPr>
        <w:spacing w:after="0" w:line="240" w:lineRule="auto"/>
        <w:ind w:left="1080"/>
        <w:contextualSpacing/>
        <w:textAlignment w:val="baseline"/>
        <w:rPr>
          <w:rFonts w:eastAsia="Times New Roman"/>
          <w:szCs w:val="24"/>
        </w:rPr>
      </w:pPr>
      <w:r w:rsidRPr="00816DDD">
        <w:rPr>
          <w:rFonts w:eastAsia="Times New Roman"/>
          <w:szCs w:val="24"/>
          <w:lang w:val="en-CA"/>
        </w:rPr>
        <w:t>Foreign c</w:t>
      </w:r>
      <w:r w:rsidR="005B2586" w:rsidRPr="00816DDD">
        <w:rPr>
          <w:rFonts w:eastAsia="Times New Roman" w:hint="cs"/>
          <w:szCs w:val="24"/>
          <w:lang w:val="en-CA"/>
        </w:rPr>
        <w:t xml:space="preserve">ontract cancellation or failure to honour </w:t>
      </w:r>
      <w:r w:rsidR="005B2586" w:rsidRPr="00816DDD">
        <w:rPr>
          <w:rFonts w:eastAsia="Times New Roman"/>
          <w:szCs w:val="24"/>
          <w:lang w:val="en-CA"/>
        </w:rPr>
        <w:t xml:space="preserve">an </w:t>
      </w:r>
      <w:r w:rsidR="005B2586" w:rsidRPr="00816DDD">
        <w:rPr>
          <w:rFonts w:eastAsia="Times New Roman" w:hint="cs"/>
          <w:szCs w:val="24"/>
          <w:lang w:val="en-CA"/>
        </w:rPr>
        <w:t>agreement</w:t>
      </w:r>
      <w:r w:rsidR="0058265B" w:rsidRPr="00816DDD">
        <w:rPr>
          <w:rFonts w:eastAsia="Times New Roman"/>
          <w:szCs w:val="24"/>
          <w:lang w:val="en-CA"/>
        </w:rPr>
        <w:t>.</w:t>
      </w:r>
    </w:p>
    <w:p w14:paraId="686B2C6D" w14:textId="2936D220" w:rsidR="00CA4F68" w:rsidRPr="00816DDD" w:rsidRDefault="00CA4F68" w:rsidP="0058265B">
      <w:pPr>
        <w:numPr>
          <w:ilvl w:val="0"/>
          <w:numId w:val="3"/>
        </w:numPr>
        <w:spacing w:after="0" w:line="240" w:lineRule="auto"/>
        <w:ind w:left="1080"/>
        <w:contextualSpacing/>
        <w:textAlignment w:val="baseline"/>
        <w:rPr>
          <w:rFonts w:eastAsia="Times New Roman"/>
          <w:szCs w:val="24"/>
        </w:rPr>
      </w:pPr>
      <w:r w:rsidRPr="00816DDD">
        <w:rPr>
          <w:rFonts w:eastAsia="Times New Roman"/>
          <w:szCs w:val="24"/>
          <w:lang w:val="en-CA"/>
        </w:rPr>
        <w:t xml:space="preserve">Refusal to pay or </w:t>
      </w:r>
      <w:r w:rsidR="005B2586" w:rsidRPr="00816DDD">
        <w:rPr>
          <w:rFonts w:eastAsia="Times New Roman"/>
          <w:szCs w:val="24"/>
          <w:lang w:val="en-CA"/>
        </w:rPr>
        <w:t xml:space="preserve">the </w:t>
      </w:r>
      <w:r w:rsidRPr="00816DDD">
        <w:rPr>
          <w:rFonts w:eastAsia="Times New Roman"/>
          <w:szCs w:val="24"/>
          <w:lang w:val="en-CA"/>
        </w:rPr>
        <w:t>b</w:t>
      </w:r>
      <w:r w:rsidRPr="00816DDD">
        <w:rPr>
          <w:rFonts w:eastAsia="Times New Roman" w:hint="cs"/>
          <w:szCs w:val="24"/>
          <w:lang w:val="en-CA"/>
        </w:rPr>
        <w:t xml:space="preserve">ankruptcy </w:t>
      </w:r>
      <w:r w:rsidR="005B2586" w:rsidRPr="00816DDD">
        <w:rPr>
          <w:rFonts w:eastAsia="Times New Roman"/>
          <w:szCs w:val="24"/>
          <w:lang w:val="en-CA"/>
        </w:rPr>
        <w:t xml:space="preserve">of </w:t>
      </w:r>
      <w:r w:rsidRPr="00816DDD">
        <w:rPr>
          <w:rFonts w:eastAsia="Times New Roman" w:hint="cs"/>
          <w:szCs w:val="24"/>
          <w:lang w:val="en-CA"/>
        </w:rPr>
        <w:t>a foreign business or government.</w:t>
      </w:r>
    </w:p>
    <w:p w14:paraId="39C9140F" w14:textId="28BC95B1" w:rsidR="00CA4F68" w:rsidRPr="00816DDD" w:rsidRDefault="00CA4F68" w:rsidP="0058265B">
      <w:pPr>
        <w:numPr>
          <w:ilvl w:val="0"/>
          <w:numId w:val="3"/>
        </w:numPr>
        <w:spacing w:after="0" w:line="240" w:lineRule="auto"/>
        <w:ind w:left="1080"/>
        <w:contextualSpacing/>
        <w:textAlignment w:val="baseline"/>
        <w:rPr>
          <w:rFonts w:eastAsia="Times New Roman"/>
          <w:szCs w:val="24"/>
        </w:rPr>
      </w:pPr>
      <w:r w:rsidRPr="00816DDD">
        <w:rPr>
          <w:rFonts w:eastAsia="Times New Roman" w:hint="cs"/>
          <w:szCs w:val="24"/>
          <w:lang w:val="en-CA"/>
        </w:rPr>
        <w:t>Foreign government limitations on the conversion of local currency to hard currenc</w:t>
      </w:r>
      <w:r w:rsidR="00431C3F" w:rsidRPr="00816DDD">
        <w:rPr>
          <w:rFonts w:eastAsia="Times New Roman"/>
          <w:szCs w:val="24"/>
          <w:lang w:val="en-CA"/>
        </w:rPr>
        <w:t>ies</w:t>
      </w:r>
      <w:r w:rsidRPr="00816DDD">
        <w:rPr>
          <w:rFonts w:eastAsia="Times New Roman" w:hint="cs"/>
          <w:szCs w:val="24"/>
          <w:lang w:val="en-CA"/>
        </w:rPr>
        <w:t xml:space="preserve"> or the transfer of funds out of the country.</w:t>
      </w:r>
    </w:p>
    <w:p w14:paraId="72134D67" w14:textId="148C7E15" w:rsidR="00CA4F68" w:rsidRPr="00816DDD" w:rsidRDefault="00CA4F68" w:rsidP="0058265B">
      <w:pPr>
        <w:numPr>
          <w:ilvl w:val="0"/>
          <w:numId w:val="3"/>
        </w:numPr>
        <w:spacing w:after="0" w:line="240" w:lineRule="auto"/>
        <w:ind w:left="1080"/>
        <w:contextualSpacing/>
        <w:textAlignment w:val="baseline"/>
        <w:rPr>
          <w:rFonts w:eastAsia="Times New Roman"/>
          <w:szCs w:val="24"/>
        </w:rPr>
      </w:pPr>
      <w:r w:rsidRPr="00816DDD">
        <w:rPr>
          <w:rFonts w:eastAsia="Times New Roman" w:hint="cs"/>
          <w:szCs w:val="24"/>
          <w:lang w:val="en-CA"/>
        </w:rPr>
        <w:t>Foreign government moratoriums on debt repayment</w:t>
      </w:r>
      <w:r w:rsidR="005B2586" w:rsidRPr="00816DDD">
        <w:rPr>
          <w:rFonts w:eastAsia="Times New Roman"/>
          <w:szCs w:val="24"/>
          <w:lang w:val="en-CA"/>
        </w:rPr>
        <w:t xml:space="preserve"> by its </w:t>
      </w:r>
      <w:r w:rsidR="00431C3F" w:rsidRPr="00816DDD">
        <w:rPr>
          <w:rFonts w:eastAsia="Times New Roman"/>
          <w:szCs w:val="24"/>
          <w:lang w:val="en-CA"/>
        </w:rPr>
        <w:t xml:space="preserve">domestic </w:t>
      </w:r>
      <w:r w:rsidR="005B2586" w:rsidRPr="00816DDD">
        <w:rPr>
          <w:rFonts w:eastAsia="Times New Roman"/>
          <w:szCs w:val="24"/>
          <w:lang w:val="en-CA"/>
        </w:rPr>
        <w:t>companies</w:t>
      </w:r>
      <w:r w:rsidRPr="00816DDD">
        <w:rPr>
          <w:rFonts w:eastAsia="Times New Roman" w:hint="cs"/>
          <w:szCs w:val="24"/>
          <w:lang w:val="en-CA"/>
        </w:rPr>
        <w:t xml:space="preserve">. </w:t>
      </w:r>
    </w:p>
    <w:p w14:paraId="5F4CFA9E" w14:textId="6C6C4006" w:rsidR="005B2586" w:rsidRPr="00816DDD" w:rsidRDefault="005B2586" w:rsidP="0058265B">
      <w:pPr>
        <w:numPr>
          <w:ilvl w:val="0"/>
          <w:numId w:val="3"/>
        </w:numPr>
        <w:spacing w:after="0" w:line="240" w:lineRule="auto"/>
        <w:ind w:left="1080"/>
        <w:contextualSpacing/>
        <w:textAlignment w:val="baseline"/>
        <w:rPr>
          <w:rFonts w:eastAsia="Times New Roman"/>
          <w:szCs w:val="24"/>
        </w:rPr>
      </w:pPr>
      <w:r w:rsidRPr="00816DDD">
        <w:rPr>
          <w:rFonts w:eastAsia="Times New Roman" w:hint="cs"/>
          <w:szCs w:val="24"/>
          <w:lang w:val="en-CA"/>
        </w:rPr>
        <w:t>Cancellation of government</w:t>
      </w:r>
      <w:r w:rsidRPr="00816DDD">
        <w:rPr>
          <w:rFonts w:eastAsia="Times New Roman"/>
          <w:szCs w:val="24"/>
          <w:lang w:val="en-CA"/>
        </w:rPr>
        <w:t>-</w:t>
      </w:r>
      <w:r w:rsidRPr="00816DDD">
        <w:rPr>
          <w:rFonts w:eastAsia="Times New Roman" w:hint="cs"/>
          <w:szCs w:val="24"/>
          <w:lang w:val="en-CA"/>
        </w:rPr>
        <w:t>issued import or export permits</w:t>
      </w:r>
      <w:r w:rsidR="00431C3F" w:rsidRPr="00816DDD">
        <w:rPr>
          <w:rFonts w:eastAsia="Times New Roman"/>
          <w:szCs w:val="24"/>
          <w:lang w:val="en-CA"/>
        </w:rPr>
        <w:t>.</w:t>
      </w:r>
    </w:p>
    <w:p w14:paraId="698D4CF8" w14:textId="1667CEF1" w:rsidR="00CA4F68" w:rsidRPr="00816DDD" w:rsidRDefault="00431C3F" w:rsidP="0058265B">
      <w:pPr>
        <w:numPr>
          <w:ilvl w:val="0"/>
          <w:numId w:val="3"/>
        </w:numPr>
        <w:spacing w:after="0" w:line="240" w:lineRule="auto"/>
        <w:ind w:left="1080"/>
        <w:contextualSpacing/>
        <w:textAlignment w:val="baseline"/>
        <w:rPr>
          <w:rFonts w:eastAsia="Times New Roman"/>
          <w:szCs w:val="24"/>
        </w:rPr>
      </w:pPr>
      <w:r w:rsidRPr="00816DDD">
        <w:rPr>
          <w:rFonts w:eastAsia="Times New Roman"/>
          <w:szCs w:val="24"/>
          <w:lang w:val="en-CA"/>
        </w:rPr>
        <w:t>E</w:t>
      </w:r>
      <w:r w:rsidR="00CA4F68" w:rsidRPr="00816DDD">
        <w:rPr>
          <w:rFonts w:eastAsia="Times New Roman" w:hint="cs"/>
          <w:szCs w:val="24"/>
          <w:lang w:val="en-CA"/>
        </w:rPr>
        <w:t>xpropriation</w:t>
      </w:r>
      <w:r w:rsidRPr="00816DDD">
        <w:rPr>
          <w:rFonts w:eastAsia="Times New Roman"/>
          <w:szCs w:val="24"/>
          <w:lang w:val="en-CA"/>
        </w:rPr>
        <w:t xml:space="preserve"> of assets</w:t>
      </w:r>
      <w:r w:rsidR="00CA4F68" w:rsidRPr="00816DDD">
        <w:rPr>
          <w:rFonts w:eastAsia="Times New Roman" w:hint="cs"/>
          <w:szCs w:val="24"/>
          <w:lang w:val="en-CA"/>
        </w:rPr>
        <w:t xml:space="preserve"> by foreign governments or damages from political unrest.</w:t>
      </w:r>
    </w:p>
    <w:p w14:paraId="524132CD" w14:textId="77777777" w:rsidR="00CA4F68" w:rsidRPr="00816DDD" w:rsidRDefault="00CA4F68" w:rsidP="0058265B">
      <w:pPr>
        <w:spacing w:after="0" w:line="240" w:lineRule="auto"/>
        <w:ind w:left="360"/>
        <w:contextualSpacing/>
        <w:textAlignment w:val="baseline"/>
        <w:rPr>
          <w:rFonts w:eastAsia="Times New Roman"/>
          <w:szCs w:val="24"/>
          <w:lang w:val="en-CA"/>
        </w:rPr>
      </w:pPr>
    </w:p>
    <w:p w14:paraId="513C9070" w14:textId="2B0FCBE5" w:rsidR="00863C07" w:rsidRPr="00816DDD" w:rsidRDefault="00CA4F68" w:rsidP="00B81FE3">
      <w:pPr>
        <w:spacing w:after="0" w:line="240" w:lineRule="auto"/>
        <w:ind w:left="360" w:right="-126"/>
        <w:contextualSpacing/>
        <w:textAlignment w:val="baseline"/>
        <w:rPr>
          <w:rFonts w:eastAsia="Times New Roman"/>
          <w:szCs w:val="24"/>
          <w:lang w:val="en-CA"/>
        </w:rPr>
      </w:pPr>
      <w:r w:rsidRPr="00816DDD">
        <w:rPr>
          <w:rFonts w:eastAsia="Times New Roman" w:hint="cs"/>
          <w:szCs w:val="24"/>
          <w:lang w:val="en-CA"/>
        </w:rPr>
        <w:t xml:space="preserve">EDC also </w:t>
      </w:r>
      <w:r w:rsidR="003C6DB9" w:rsidRPr="00816DDD">
        <w:rPr>
          <w:rFonts w:eastAsia="Times New Roman"/>
          <w:szCs w:val="24"/>
          <w:lang w:val="en-CA"/>
        </w:rPr>
        <w:t>e</w:t>
      </w:r>
      <w:r w:rsidR="005B2586" w:rsidRPr="00816DDD">
        <w:rPr>
          <w:rFonts w:eastAsia="Times New Roman"/>
          <w:szCs w:val="24"/>
          <w:lang w:val="en-CA"/>
        </w:rPr>
        <w:t>nsures</w:t>
      </w:r>
      <w:r w:rsidRPr="00816DDD">
        <w:rPr>
          <w:rFonts w:eastAsia="Times New Roman" w:hint="cs"/>
          <w:szCs w:val="24"/>
          <w:lang w:val="en-CA"/>
        </w:rPr>
        <w:t xml:space="preserve"> performance</w:t>
      </w:r>
      <w:r w:rsidR="00431C3F" w:rsidRPr="00816DDD">
        <w:rPr>
          <w:rFonts w:eastAsia="Times New Roman"/>
          <w:szCs w:val="24"/>
          <w:lang w:val="en-CA"/>
        </w:rPr>
        <w:t xml:space="preserve"> bonds</w:t>
      </w:r>
      <w:r w:rsidR="00AA0B27">
        <w:rPr>
          <w:rFonts w:eastAsia="Times New Roman"/>
          <w:szCs w:val="24"/>
          <w:lang w:val="en-CA"/>
        </w:rPr>
        <w:t>,</w:t>
      </w:r>
      <w:r w:rsidR="00431C3F" w:rsidRPr="00816DDD">
        <w:rPr>
          <w:rFonts w:eastAsia="Times New Roman"/>
          <w:szCs w:val="24"/>
          <w:lang w:val="en-CA"/>
        </w:rPr>
        <w:t xml:space="preserve"> also called </w:t>
      </w:r>
      <w:r w:rsidR="00F07F02" w:rsidRPr="00816DDD">
        <w:rPr>
          <w:rFonts w:eastAsia="Times New Roman"/>
          <w:szCs w:val="24"/>
          <w:lang w:val="en-CA"/>
        </w:rPr>
        <w:t xml:space="preserve">surety </w:t>
      </w:r>
      <w:r w:rsidRPr="00816DDD">
        <w:rPr>
          <w:rFonts w:eastAsia="Times New Roman" w:hint="cs"/>
          <w:szCs w:val="24"/>
          <w:lang w:val="en-CA"/>
        </w:rPr>
        <w:t>bonds</w:t>
      </w:r>
      <w:r w:rsidR="00AA0B27">
        <w:rPr>
          <w:rFonts w:eastAsia="Times New Roman"/>
          <w:szCs w:val="24"/>
          <w:lang w:val="en-CA"/>
        </w:rPr>
        <w:t>,</w:t>
      </w:r>
      <w:r w:rsidRPr="00816DDD">
        <w:rPr>
          <w:rFonts w:eastAsia="Times New Roman" w:hint="cs"/>
          <w:szCs w:val="24"/>
          <w:lang w:val="en-CA"/>
        </w:rPr>
        <w:t xml:space="preserve"> issued by private insurance companies and financial institutions.  When importers and exporters do not have an established relationship, the importer may require that the exporter purchase a performance</w:t>
      </w:r>
      <w:r w:rsidR="00F26AC6" w:rsidRPr="00816DDD">
        <w:rPr>
          <w:rFonts w:eastAsia="Times New Roman"/>
          <w:szCs w:val="24"/>
          <w:lang w:val="en-CA"/>
        </w:rPr>
        <w:t xml:space="preserve"> or surety</w:t>
      </w:r>
      <w:r w:rsidRPr="00816DDD">
        <w:rPr>
          <w:rFonts w:eastAsia="Times New Roman" w:hint="cs"/>
          <w:szCs w:val="24"/>
          <w:lang w:val="en-CA"/>
        </w:rPr>
        <w:t xml:space="preserve"> bond to protect the importer from losses due to non-fulfillment of the agreement.  By </w:t>
      </w:r>
      <w:r w:rsidRPr="00816DDD">
        <w:rPr>
          <w:rFonts w:eastAsia="Times New Roman"/>
          <w:szCs w:val="24"/>
          <w:lang w:val="en-CA"/>
        </w:rPr>
        <w:t>e</w:t>
      </w:r>
      <w:r w:rsidRPr="00816DDD">
        <w:rPr>
          <w:rFonts w:eastAsia="Times New Roman" w:hint="cs"/>
          <w:szCs w:val="24"/>
          <w:lang w:val="en-CA"/>
        </w:rPr>
        <w:t xml:space="preserve">nsuring </w:t>
      </w:r>
      <w:r w:rsidR="00F26AC6" w:rsidRPr="00816DDD">
        <w:rPr>
          <w:rFonts w:eastAsia="Times New Roman"/>
          <w:szCs w:val="24"/>
          <w:lang w:val="en-CA"/>
        </w:rPr>
        <w:t xml:space="preserve">these </w:t>
      </w:r>
      <w:r w:rsidRPr="00816DDD">
        <w:rPr>
          <w:rFonts w:eastAsia="Times New Roman" w:hint="cs"/>
          <w:szCs w:val="24"/>
          <w:lang w:val="en-CA"/>
        </w:rPr>
        <w:t xml:space="preserve">bonds, </w:t>
      </w:r>
      <w:r w:rsidRPr="00816DDD">
        <w:rPr>
          <w:rFonts w:eastAsia="Times New Roman"/>
          <w:szCs w:val="24"/>
          <w:lang w:val="en-CA"/>
        </w:rPr>
        <w:t xml:space="preserve">the </w:t>
      </w:r>
      <w:r w:rsidRPr="00816DDD">
        <w:rPr>
          <w:rFonts w:eastAsia="Times New Roman" w:hint="cs"/>
          <w:szCs w:val="24"/>
          <w:lang w:val="en-CA"/>
        </w:rPr>
        <w:t>EDC reduce</w:t>
      </w:r>
      <w:r w:rsidRPr="00816DDD">
        <w:rPr>
          <w:rFonts w:eastAsia="Times New Roman"/>
          <w:szCs w:val="24"/>
          <w:lang w:val="en-CA"/>
        </w:rPr>
        <w:t>s</w:t>
      </w:r>
      <w:r w:rsidRPr="00816DDD">
        <w:rPr>
          <w:rFonts w:eastAsia="Times New Roman" w:hint="cs"/>
          <w:szCs w:val="24"/>
          <w:lang w:val="en-CA"/>
        </w:rPr>
        <w:t xml:space="preserve"> exporters</w:t>
      </w:r>
      <w:r w:rsidRPr="00816DDD">
        <w:rPr>
          <w:rFonts w:eastAsia="Times New Roman"/>
          <w:szCs w:val="24"/>
          <w:lang w:val="en-CA"/>
        </w:rPr>
        <w:t>’</w:t>
      </w:r>
      <w:r w:rsidRPr="00816DDD">
        <w:rPr>
          <w:rFonts w:eastAsia="Times New Roman" w:hint="cs"/>
          <w:szCs w:val="24"/>
          <w:lang w:val="en-CA"/>
        </w:rPr>
        <w:t xml:space="preserve"> costs and limit</w:t>
      </w:r>
      <w:r w:rsidRPr="00816DDD">
        <w:rPr>
          <w:rFonts w:eastAsia="Times New Roman"/>
          <w:szCs w:val="24"/>
          <w:lang w:val="en-CA"/>
        </w:rPr>
        <w:t>s</w:t>
      </w:r>
      <w:r w:rsidRPr="00816DDD">
        <w:rPr>
          <w:rFonts w:eastAsia="Times New Roman" w:hint="cs"/>
          <w:szCs w:val="24"/>
          <w:lang w:val="en-CA"/>
        </w:rPr>
        <w:t xml:space="preserve"> the financial restrictions generally placed on them by private insurance companies such as collateral requirements.  </w:t>
      </w:r>
    </w:p>
    <w:p w14:paraId="7798B805" w14:textId="77777777" w:rsidR="00A327A0" w:rsidRPr="00816DDD" w:rsidRDefault="00A327A0" w:rsidP="000E660D">
      <w:pPr>
        <w:widowControl w:val="0"/>
        <w:spacing w:after="0" w:line="240" w:lineRule="auto"/>
        <w:rPr>
          <w:szCs w:val="24"/>
        </w:rPr>
      </w:pPr>
      <w:bookmarkStart w:id="2" w:name="_Hlk140217072"/>
    </w:p>
    <w:p w14:paraId="5FCEC4B0" w14:textId="30F09122" w:rsidR="007C3EF4" w:rsidRPr="00816DDD" w:rsidRDefault="007C3EF4" w:rsidP="000E660D">
      <w:pPr>
        <w:widowControl w:val="0"/>
        <w:numPr>
          <w:ilvl w:val="1"/>
          <w:numId w:val="4"/>
        </w:numPr>
        <w:spacing w:after="0" w:line="240" w:lineRule="auto"/>
        <w:contextualSpacing/>
        <w:rPr>
          <w:b/>
          <w:szCs w:val="24"/>
        </w:rPr>
      </w:pPr>
      <w:r w:rsidRPr="00816DDD">
        <w:rPr>
          <w:rFonts w:hint="cs"/>
          <w:b/>
          <w:szCs w:val="24"/>
        </w:rPr>
        <w:t xml:space="preserve">| </w:t>
      </w:r>
      <w:r w:rsidR="00D93ECD" w:rsidRPr="00816DDD">
        <w:rPr>
          <w:b/>
          <w:szCs w:val="24"/>
        </w:rPr>
        <w:t>Foreign Exchange Market</w:t>
      </w:r>
    </w:p>
    <w:p w14:paraId="1A5C805D" w14:textId="77777777" w:rsidR="007C3EF4" w:rsidRPr="00816DDD" w:rsidRDefault="003C4EC4" w:rsidP="000E660D">
      <w:pPr>
        <w:widowControl w:val="0"/>
        <w:spacing w:after="0" w:line="240" w:lineRule="auto"/>
        <w:contextualSpacing/>
        <w:rPr>
          <w:b/>
          <w:szCs w:val="24"/>
        </w:rPr>
      </w:pPr>
      <w:r>
        <w:rPr>
          <w:szCs w:val="24"/>
        </w:rPr>
        <w:pict w14:anchorId="228FD272">
          <v:rect id="_x0000_i1031" style="width:0;height:1.5pt" o:hralign="center" o:bullet="t" o:hrstd="t" o:hr="t" fillcolor="#a0a0a0" stroked="f"/>
        </w:pict>
      </w:r>
    </w:p>
    <w:bookmarkEnd w:id="2"/>
    <w:p w14:paraId="07869DC6" w14:textId="77777777" w:rsidR="00B859CC" w:rsidRPr="00816DDD" w:rsidRDefault="00B859CC" w:rsidP="00B859CC">
      <w:pPr>
        <w:widowControl w:val="0"/>
        <w:spacing w:after="0" w:line="240" w:lineRule="auto"/>
        <w:rPr>
          <w:szCs w:val="24"/>
        </w:rPr>
      </w:pPr>
    </w:p>
    <w:p w14:paraId="5BD579D8" w14:textId="61FF0A1E" w:rsidR="00F23FE2" w:rsidRPr="00816DDD" w:rsidRDefault="00F23FE2" w:rsidP="00F23FE2">
      <w:pPr>
        <w:widowControl w:val="0"/>
        <w:spacing w:after="0" w:line="240" w:lineRule="auto"/>
        <w:rPr>
          <w:szCs w:val="24"/>
        </w:rPr>
      </w:pPr>
      <w:r w:rsidRPr="00816DDD">
        <w:rPr>
          <w:rFonts w:hint="cs"/>
          <w:szCs w:val="24"/>
        </w:rPr>
        <w:t>The foreign exchange market, also known as the currency, forex, or FX market, is the largest financial market in the world</w:t>
      </w:r>
      <w:r w:rsidR="00AA0B27">
        <w:rPr>
          <w:szCs w:val="24"/>
        </w:rPr>
        <w:t>,</w:t>
      </w:r>
      <w:r w:rsidRPr="00816DDD">
        <w:rPr>
          <w:rFonts w:hint="cs"/>
          <w:szCs w:val="24"/>
        </w:rPr>
        <w:t xml:space="preserve"> with over USD 6.6 </w:t>
      </w:r>
      <w:r w:rsidR="00716CD9" w:rsidRPr="00816DDD">
        <w:rPr>
          <w:szCs w:val="24"/>
        </w:rPr>
        <w:t>trillion</w:t>
      </w:r>
      <w:r w:rsidRPr="00816DDD">
        <w:rPr>
          <w:rFonts w:hint="cs"/>
          <w:szCs w:val="24"/>
        </w:rPr>
        <w:t xml:space="preserve"> daily trading volume in April 2019.  This is up from USD 5.1 trillion in April 2016</w:t>
      </w:r>
      <w:r w:rsidR="00AA0B27">
        <w:rPr>
          <w:szCs w:val="24"/>
        </w:rPr>
        <w:t>,</w:t>
      </w:r>
      <w:r w:rsidRPr="00816DDD">
        <w:rPr>
          <w:rFonts w:hint="cs"/>
          <w:szCs w:val="24"/>
        </w:rPr>
        <w:t xml:space="preserve"> according to the Triennial Central Bank Survey of Foreign Exchange Turnover.  This survey is the most comprehensive source of information on the size and structure of the global forex market and is published every three years.  It is sponsored by the Bank for International Settlements (BIS)</w:t>
      </w:r>
      <w:r w:rsidR="00DB17B0">
        <w:rPr>
          <w:szCs w:val="24"/>
        </w:rPr>
        <w:t>,</w:t>
      </w:r>
      <w:r w:rsidRPr="00816DDD">
        <w:rPr>
          <w:rFonts w:hint="cs"/>
          <w:szCs w:val="24"/>
        </w:rPr>
        <w:t xml:space="preserve"> whose</w:t>
      </w:r>
      <w:r w:rsidRPr="00816DDD">
        <w:rPr>
          <w:rFonts w:hint="cs"/>
          <w:szCs w:val="24"/>
          <w:shd w:val="clear" w:color="auto" w:fill="FFFFFF"/>
        </w:rPr>
        <w:t xml:space="preserve"> role is to support the world’s central banks in their pursuit of monetary and financial stability through international cooperation and to act as a bank for its 63</w:t>
      </w:r>
      <w:r w:rsidR="00BF0807" w:rsidRPr="00816DDD">
        <w:rPr>
          <w:szCs w:val="24"/>
          <w:shd w:val="clear" w:color="auto" w:fill="FFFFFF"/>
        </w:rPr>
        <w:t xml:space="preserve"> </w:t>
      </w:r>
      <w:r w:rsidRPr="00816DDD">
        <w:rPr>
          <w:rFonts w:hint="cs"/>
          <w:szCs w:val="24"/>
          <w:shd w:val="clear" w:color="auto" w:fill="FFFFFF"/>
        </w:rPr>
        <w:t xml:space="preserve">member countries.  </w:t>
      </w:r>
    </w:p>
    <w:p w14:paraId="27B0472A" w14:textId="77777777" w:rsidR="00F23FE2" w:rsidRPr="00816DDD" w:rsidRDefault="00F23FE2" w:rsidP="00F23FE2">
      <w:pPr>
        <w:widowControl w:val="0"/>
        <w:spacing w:after="0" w:line="240" w:lineRule="auto"/>
        <w:rPr>
          <w:szCs w:val="24"/>
        </w:rPr>
      </w:pPr>
    </w:p>
    <w:p w14:paraId="30A6CBC2" w14:textId="5E85CDB3" w:rsidR="00F23FE2" w:rsidRPr="00816DDD" w:rsidRDefault="00F23FE2" w:rsidP="00D93ECD">
      <w:pPr>
        <w:widowControl w:val="0"/>
        <w:spacing w:after="0" w:line="240" w:lineRule="auto"/>
        <w:ind w:right="-126"/>
        <w:rPr>
          <w:szCs w:val="24"/>
        </w:rPr>
      </w:pPr>
      <w:r w:rsidRPr="00816DDD">
        <w:rPr>
          <w:rFonts w:hint="cs"/>
          <w:szCs w:val="24"/>
        </w:rPr>
        <w:t xml:space="preserve">Most currency trading in the forex market is in U.S. Dollars, Euros, Japanese Yen, British Pounds, or Swiss Francs.  Approximately </w:t>
      </w:r>
      <w:r w:rsidRPr="00816DDD">
        <w:rPr>
          <w:rFonts w:hint="cs"/>
          <w:szCs w:val="24"/>
          <w:shd w:val="clear" w:color="auto" w:fill="FFFFFF"/>
        </w:rPr>
        <w:t xml:space="preserve">88.3% of all </w:t>
      </w:r>
      <w:r w:rsidRPr="00816DDD">
        <w:rPr>
          <w:rFonts w:hint="cs"/>
          <w:bCs/>
          <w:szCs w:val="24"/>
          <w:shd w:val="clear" w:color="auto" w:fill="FFFFFF"/>
        </w:rPr>
        <w:t>trades</w:t>
      </w:r>
      <w:r w:rsidRPr="00816DDD">
        <w:rPr>
          <w:rFonts w:hint="cs"/>
          <w:szCs w:val="24"/>
          <w:shd w:val="clear" w:color="auto" w:fill="FFFFFF"/>
        </w:rPr>
        <w:t> are between the </w:t>
      </w:r>
      <w:r w:rsidRPr="00816DDD">
        <w:rPr>
          <w:rFonts w:hint="cs"/>
          <w:bCs/>
          <w:szCs w:val="24"/>
          <w:shd w:val="clear" w:color="auto" w:fill="FFFFFF"/>
        </w:rPr>
        <w:t xml:space="preserve">USD </w:t>
      </w:r>
      <w:r w:rsidRPr="00816DDD">
        <w:rPr>
          <w:rFonts w:hint="cs"/>
          <w:szCs w:val="24"/>
          <w:shd w:val="clear" w:color="auto" w:fill="FFFFFF"/>
        </w:rPr>
        <w:t>and other </w:t>
      </w:r>
      <w:r w:rsidRPr="00816DDD">
        <w:rPr>
          <w:rFonts w:hint="cs"/>
          <w:bCs/>
          <w:szCs w:val="24"/>
          <w:shd w:val="clear" w:color="auto" w:fill="FFFFFF"/>
        </w:rPr>
        <w:t>currencies</w:t>
      </w:r>
      <w:r w:rsidR="00AA0B27">
        <w:rPr>
          <w:bCs/>
          <w:szCs w:val="24"/>
          <w:shd w:val="clear" w:color="auto" w:fill="FFFFFF"/>
        </w:rPr>
        <w:t>,</w:t>
      </w:r>
      <w:r w:rsidRPr="00816DDD">
        <w:rPr>
          <w:rFonts w:hint="cs"/>
          <w:bCs/>
          <w:szCs w:val="24"/>
          <w:shd w:val="clear" w:color="auto" w:fill="FFFFFF"/>
        </w:rPr>
        <w:t xml:space="preserve"> while the EUR accounts for 32.3% and the JPY for 16.8%.  The USD</w:t>
      </w:r>
      <w:r w:rsidRPr="00816DDD">
        <w:rPr>
          <w:rFonts w:hint="cs"/>
          <w:szCs w:val="24"/>
          <w:shd w:val="clear" w:color="auto" w:fill="FFFFFF"/>
        </w:rPr>
        <w:t xml:space="preserve"> is the world's</w:t>
      </w:r>
      <w:r w:rsidR="00D93ECD" w:rsidRPr="00816DDD">
        <w:rPr>
          <w:szCs w:val="24"/>
          <w:shd w:val="clear" w:color="auto" w:fill="FFFFFF"/>
        </w:rPr>
        <w:t xml:space="preserve"> </w:t>
      </w:r>
      <w:r w:rsidRPr="00816DDD">
        <w:rPr>
          <w:rFonts w:hint="cs"/>
          <w:szCs w:val="24"/>
          <w:shd w:val="clear" w:color="auto" w:fill="FFFFFF"/>
        </w:rPr>
        <w:t>reserve </w:t>
      </w:r>
      <w:r w:rsidRPr="00816DDD">
        <w:rPr>
          <w:rFonts w:hint="cs"/>
          <w:bCs/>
          <w:szCs w:val="24"/>
          <w:shd w:val="clear" w:color="auto" w:fill="FFFFFF"/>
        </w:rPr>
        <w:t>currency</w:t>
      </w:r>
      <w:r w:rsidR="00AA0B27">
        <w:rPr>
          <w:bCs/>
          <w:szCs w:val="24"/>
          <w:shd w:val="clear" w:color="auto" w:fill="FFFFFF"/>
        </w:rPr>
        <w:t>,</w:t>
      </w:r>
      <w:r w:rsidRPr="00816DDD">
        <w:rPr>
          <w:rFonts w:hint="cs"/>
          <w:szCs w:val="24"/>
          <w:shd w:val="clear" w:color="auto" w:fill="FFFFFF"/>
        </w:rPr>
        <w:t xml:space="preserve"> meaning most international </w:t>
      </w:r>
      <w:r w:rsidRPr="00816DDD">
        <w:rPr>
          <w:rFonts w:hint="cs"/>
          <w:bCs/>
          <w:szCs w:val="24"/>
          <w:shd w:val="clear" w:color="auto" w:fill="FFFFFF"/>
        </w:rPr>
        <w:t>transactions</w:t>
      </w:r>
      <w:r w:rsidRPr="00816DDD">
        <w:rPr>
          <w:rFonts w:hint="cs"/>
          <w:szCs w:val="24"/>
          <w:shd w:val="clear" w:color="auto" w:fill="FFFFFF"/>
        </w:rPr>
        <w:t> are paid in </w:t>
      </w:r>
      <w:r w:rsidRPr="00816DDD">
        <w:rPr>
          <w:rFonts w:hint="cs"/>
          <w:bCs/>
          <w:szCs w:val="24"/>
          <w:shd w:val="clear" w:color="auto" w:fill="FFFFFF"/>
        </w:rPr>
        <w:t>dollars</w:t>
      </w:r>
      <w:r w:rsidRPr="00816DDD">
        <w:rPr>
          <w:rFonts w:hint="cs"/>
          <w:szCs w:val="24"/>
          <w:shd w:val="clear" w:color="auto" w:fill="FFFFFF"/>
        </w:rPr>
        <w:t>.  Emerging market currencies, including the Chinese Renminbi, are gaining importance and account for 25% of all global turnover.  All currency trades involve two currencies</w:t>
      </w:r>
      <w:r w:rsidR="00716CD9">
        <w:rPr>
          <w:szCs w:val="24"/>
          <w:shd w:val="clear" w:color="auto" w:fill="FFFFFF"/>
        </w:rPr>
        <w:t xml:space="preserve">, </w:t>
      </w:r>
      <w:r w:rsidRPr="00816DDD">
        <w:rPr>
          <w:rFonts w:hint="cs"/>
          <w:szCs w:val="24"/>
          <w:shd w:val="clear" w:color="auto" w:fill="FFFFFF"/>
        </w:rPr>
        <w:t>such as USD or EUR, so the turnover percentages for all countries add up to 200% and not 100%.</w:t>
      </w:r>
    </w:p>
    <w:p w14:paraId="09E39F7B" w14:textId="77777777" w:rsidR="00F23FE2" w:rsidRPr="00816DDD" w:rsidRDefault="00F23FE2" w:rsidP="00F23FE2">
      <w:pPr>
        <w:widowControl w:val="0"/>
        <w:spacing w:after="0" w:line="240" w:lineRule="auto"/>
        <w:rPr>
          <w:szCs w:val="24"/>
        </w:rPr>
      </w:pPr>
    </w:p>
    <w:p w14:paraId="7C69E887" w14:textId="6917A4A9" w:rsidR="00F23FE2" w:rsidRPr="00816DDD" w:rsidRDefault="00F23FE2" w:rsidP="00F23FE2">
      <w:pPr>
        <w:widowControl w:val="0"/>
        <w:spacing w:after="0" w:line="240" w:lineRule="auto"/>
        <w:rPr>
          <w:szCs w:val="24"/>
        </w:rPr>
      </w:pPr>
      <w:r w:rsidRPr="00816DDD">
        <w:rPr>
          <w:rFonts w:hint="cs"/>
          <w:szCs w:val="24"/>
        </w:rPr>
        <w:t xml:space="preserve">The forex market is highly </w:t>
      </w:r>
      <w:r w:rsidR="00716CD9" w:rsidRPr="00816DDD">
        <w:rPr>
          <w:szCs w:val="24"/>
        </w:rPr>
        <w:t>competitive,</w:t>
      </w:r>
      <w:r w:rsidRPr="00816DDD">
        <w:rPr>
          <w:rFonts w:hint="cs"/>
          <w:szCs w:val="24"/>
        </w:rPr>
        <w:t xml:space="preserve"> providing participants with excellent liquidity and low trading costs.  There are no official currency exchanges or clearinghouses like stocks or derivatives.  Instead, currencies trade electronically in the over-the-counter market through a collection of dealers and brokers located around the world.  London is the largest trading center with 43.1% of the trading volume in 2019</w:t>
      </w:r>
      <w:r w:rsidR="00AA0B27">
        <w:rPr>
          <w:szCs w:val="24"/>
        </w:rPr>
        <w:t>,</w:t>
      </w:r>
      <w:r w:rsidRPr="00816DDD">
        <w:rPr>
          <w:rFonts w:hint="cs"/>
          <w:szCs w:val="24"/>
        </w:rPr>
        <w:t xml:space="preserve"> followed by New York at 16.5%, Singapore and Hong Kong at 7.6%, and Tokyo at 4.5%.  Due to differences in time zones, participants can trade currencies 24 hours a day, five and a half days a week.</w:t>
      </w:r>
    </w:p>
    <w:p w14:paraId="060A81C0" w14:textId="77777777" w:rsidR="00F23FE2" w:rsidRPr="00816DDD" w:rsidRDefault="00F23FE2" w:rsidP="00F23FE2">
      <w:pPr>
        <w:widowControl w:val="0"/>
        <w:spacing w:after="0" w:line="240" w:lineRule="auto"/>
        <w:rPr>
          <w:szCs w:val="24"/>
        </w:rPr>
      </w:pPr>
    </w:p>
    <w:p w14:paraId="5C205C38" w14:textId="7CA5482B" w:rsidR="00F23FE2" w:rsidRPr="00816DDD" w:rsidRDefault="00F23FE2" w:rsidP="00F23FE2">
      <w:pPr>
        <w:widowControl w:val="0"/>
        <w:spacing w:after="0" w:line="240" w:lineRule="auto"/>
        <w:ind w:right="-90"/>
        <w:rPr>
          <w:szCs w:val="24"/>
        </w:rPr>
      </w:pPr>
      <w:r w:rsidRPr="00816DDD">
        <w:rPr>
          <w:rFonts w:hint="cs"/>
          <w:szCs w:val="24"/>
        </w:rPr>
        <w:t xml:space="preserve">The forex market is divided into a sell-side and </w:t>
      </w:r>
      <w:r w:rsidR="00142B1B">
        <w:rPr>
          <w:szCs w:val="24"/>
        </w:rPr>
        <w:t xml:space="preserve">a </w:t>
      </w:r>
      <w:r w:rsidRPr="00816DDD">
        <w:rPr>
          <w:rFonts w:hint="cs"/>
          <w:szCs w:val="24"/>
        </w:rPr>
        <w:t xml:space="preserve">buy-side.  The sell-side consists of reporting dealers that are generally very large multinational commercial or investment banks that buy and sell currency for their customers or </w:t>
      </w:r>
      <w:r w:rsidR="00E027CB" w:rsidRPr="00816DDD">
        <w:rPr>
          <w:szCs w:val="24"/>
        </w:rPr>
        <w:t xml:space="preserve">speculate on </w:t>
      </w:r>
      <w:r w:rsidRPr="00816DDD">
        <w:rPr>
          <w:rFonts w:hint="cs"/>
          <w:szCs w:val="24"/>
        </w:rPr>
        <w:t>currency</w:t>
      </w:r>
      <w:r w:rsidR="00E027CB" w:rsidRPr="00816DDD">
        <w:rPr>
          <w:szCs w:val="24"/>
        </w:rPr>
        <w:t xml:space="preserve"> movements</w:t>
      </w:r>
      <w:r w:rsidR="00BF0807" w:rsidRPr="00816DDD">
        <w:rPr>
          <w:szCs w:val="24"/>
        </w:rPr>
        <w:t xml:space="preserve"> in their own </w:t>
      </w:r>
      <w:r w:rsidR="00AA0B27">
        <w:rPr>
          <w:szCs w:val="24"/>
        </w:rPr>
        <w:t>proprietary</w:t>
      </w:r>
      <w:r w:rsidR="00BF0807" w:rsidRPr="00816DDD">
        <w:rPr>
          <w:szCs w:val="24"/>
        </w:rPr>
        <w:t xml:space="preserve"> accounts to earn profits for the</w:t>
      </w:r>
      <w:r w:rsidR="000A6B0B" w:rsidRPr="00816DDD">
        <w:rPr>
          <w:szCs w:val="24"/>
        </w:rPr>
        <w:t xml:space="preserve"> </w:t>
      </w:r>
      <w:r w:rsidR="00BF0807" w:rsidRPr="00816DDD">
        <w:rPr>
          <w:szCs w:val="24"/>
        </w:rPr>
        <w:t>firm</w:t>
      </w:r>
      <w:r w:rsidRPr="00816DDD">
        <w:rPr>
          <w:rFonts w:hint="cs"/>
          <w:szCs w:val="24"/>
        </w:rPr>
        <w:t xml:space="preserve">.  </w:t>
      </w:r>
    </w:p>
    <w:p w14:paraId="607EB665" w14:textId="77777777" w:rsidR="00F23FE2" w:rsidRPr="00816DDD" w:rsidRDefault="00F23FE2" w:rsidP="00F23FE2">
      <w:pPr>
        <w:widowControl w:val="0"/>
        <w:spacing w:after="0" w:line="240" w:lineRule="auto"/>
        <w:rPr>
          <w:szCs w:val="24"/>
        </w:rPr>
      </w:pPr>
    </w:p>
    <w:p w14:paraId="782829AA" w14:textId="06ACD596" w:rsidR="00F23FE2" w:rsidRPr="00816DDD" w:rsidRDefault="00F23FE2" w:rsidP="00F23FE2">
      <w:pPr>
        <w:widowControl w:val="0"/>
        <w:spacing w:after="0" w:line="240" w:lineRule="auto"/>
        <w:jc w:val="center"/>
        <w:rPr>
          <w:b/>
          <w:sz w:val="20"/>
          <w:szCs w:val="20"/>
        </w:rPr>
      </w:pPr>
      <w:r w:rsidRPr="00816DDD">
        <w:rPr>
          <w:rFonts w:hint="cs"/>
          <w:b/>
          <w:sz w:val="20"/>
          <w:szCs w:val="20"/>
        </w:rPr>
        <w:t>Exhibit 3: 10 Largest Currency Traders, June 2019</w:t>
      </w:r>
    </w:p>
    <w:p w14:paraId="37D34AF5" w14:textId="77777777" w:rsidR="00F23FE2" w:rsidRPr="00816DDD" w:rsidRDefault="00F23FE2" w:rsidP="00F23FE2">
      <w:pPr>
        <w:widowControl w:val="0"/>
        <w:spacing w:after="0" w:line="240" w:lineRule="auto"/>
        <w:jc w:val="center"/>
        <w:rPr>
          <w:b/>
          <w:sz w:val="20"/>
          <w:szCs w:val="20"/>
        </w:rPr>
      </w:pPr>
    </w:p>
    <w:tbl>
      <w:tblPr>
        <w:tblStyle w:val="TableGrid"/>
        <w:tblW w:w="0" w:type="auto"/>
        <w:tblInd w:w="1705" w:type="dxa"/>
        <w:tblLook w:val="04A0" w:firstRow="1" w:lastRow="0" w:firstColumn="1" w:lastColumn="0" w:noHBand="0" w:noVBand="1"/>
      </w:tblPr>
      <w:tblGrid>
        <w:gridCol w:w="857"/>
        <w:gridCol w:w="2923"/>
        <w:gridCol w:w="1350"/>
        <w:gridCol w:w="1530"/>
      </w:tblGrid>
      <w:tr w:rsidR="00816DDD" w:rsidRPr="00816DDD" w14:paraId="4453BEBA" w14:textId="77777777" w:rsidTr="00567210">
        <w:tc>
          <w:tcPr>
            <w:tcW w:w="857" w:type="dxa"/>
          </w:tcPr>
          <w:p w14:paraId="3FEF5792" w14:textId="77777777" w:rsidR="00F23FE2" w:rsidRPr="00816DDD" w:rsidRDefault="00F23FE2" w:rsidP="00567210">
            <w:pPr>
              <w:widowControl w:val="0"/>
              <w:jc w:val="center"/>
              <w:rPr>
                <w:b/>
                <w:sz w:val="20"/>
                <w:szCs w:val="20"/>
              </w:rPr>
            </w:pPr>
            <w:r w:rsidRPr="00816DDD">
              <w:rPr>
                <w:rFonts w:hint="cs"/>
                <w:b/>
                <w:sz w:val="20"/>
                <w:szCs w:val="20"/>
              </w:rPr>
              <w:t>Rank</w:t>
            </w:r>
          </w:p>
        </w:tc>
        <w:tc>
          <w:tcPr>
            <w:tcW w:w="2923" w:type="dxa"/>
          </w:tcPr>
          <w:p w14:paraId="5BFF4937" w14:textId="77777777" w:rsidR="00F23FE2" w:rsidRPr="00816DDD" w:rsidRDefault="00F23FE2" w:rsidP="00567210">
            <w:pPr>
              <w:widowControl w:val="0"/>
              <w:jc w:val="center"/>
              <w:rPr>
                <w:b/>
                <w:sz w:val="20"/>
                <w:szCs w:val="20"/>
              </w:rPr>
            </w:pPr>
            <w:r w:rsidRPr="00816DDD">
              <w:rPr>
                <w:rFonts w:hint="cs"/>
                <w:b/>
                <w:sz w:val="20"/>
                <w:szCs w:val="20"/>
              </w:rPr>
              <w:t>Institution</w:t>
            </w:r>
          </w:p>
        </w:tc>
        <w:tc>
          <w:tcPr>
            <w:tcW w:w="1350" w:type="dxa"/>
          </w:tcPr>
          <w:p w14:paraId="6BA8A044" w14:textId="77777777" w:rsidR="00F23FE2" w:rsidRPr="00816DDD" w:rsidRDefault="00F23FE2" w:rsidP="00567210">
            <w:pPr>
              <w:widowControl w:val="0"/>
              <w:jc w:val="center"/>
              <w:rPr>
                <w:b/>
                <w:sz w:val="20"/>
                <w:szCs w:val="20"/>
              </w:rPr>
            </w:pPr>
            <w:r w:rsidRPr="00816DDD">
              <w:rPr>
                <w:rFonts w:hint="cs"/>
                <w:b/>
                <w:sz w:val="20"/>
                <w:szCs w:val="20"/>
              </w:rPr>
              <w:t>Country</w:t>
            </w:r>
          </w:p>
        </w:tc>
        <w:tc>
          <w:tcPr>
            <w:tcW w:w="1530" w:type="dxa"/>
          </w:tcPr>
          <w:p w14:paraId="3F193003" w14:textId="77777777" w:rsidR="00F23FE2" w:rsidRPr="00816DDD" w:rsidRDefault="00F23FE2" w:rsidP="00567210">
            <w:pPr>
              <w:widowControl w:val="0"/>
              <w:jc w:val="center"/>
              <w:rPr>
                <w:b/>
                <w:sz w:val="20"/>
                <w:szCs w:val="20"/>
              </w:rPr>
            </w:pPr>
            <w:r w:rsidRPr="00816DDD">
              <w:rPr>
                <w:rFonts w:hint="cs"/>
                <w:b/>
                <w:sz w:val="20"/>
                <w:szCs w:val="20"/>
              </w:rPr>
              <w:t>Market Share</w:t>
            </w:r>
          </w:p>
        </w:tc>
      </w:tr>
      <w:tr w:rsidR="00816DDD" w:rsidRPr="00816DDD" w14:paraId="3EFAEB18" w14:textId="77777777" w:rsidTr="00567210">
        <w:tc>
          <w:tcPr>
            <w:tcW w:w="857" w:type="dxa"/>
          </w:tcPr>
          <w:p w14:paraId="5BC8C507" w14:textId="77777777" w:rsidR="00F23FE2" w:rsidRPr="00816DDD" w:rsidRDefault="00F23FE2" w:rsidP="00567210">
            <w:pPr>
              <w:widowControl w:val="0"/>
              <w:jc w:val="center"/>
              <w:rPr>
                <w:sz w:val="20"/>
                <w:szCs w:val="20"/>
              </w:rPr>
            </w:pPr>
            <w:r w:rsidRPr="00816DDD">
              <w:rPr>
                <w:rFonts w:hint="cs"/>
                <w:sz w:val="20"/>
                <w:szCs w:val="20"/>
              </w:rPr>
              <w:t>1</w:t>
            </w:r>
          </w:p>
        </w:tc>
        <w:tc>
          <w:tcPr>
            <w:tcW w:w="2923" w:type="dxa"/>
          </w:tcPr>
          <w:p w14:paraId="403B871E" w14:textId="77777777" w:rsidR="00F23FE2" w:rsidRPr="00816DDD" w:rsidRDefault="00F23FE2" w:rsidP="00567210">
            <w:pPr>
              <w:widowControl w:val="0"/>
              <w:rPr>
                <w:sz w:val="20"/>
                <w:szCs w:val="20"/>
              </w:rPr>
            </w:pPr>
            <w:r w:rsidRPr="00816DDD">
              <w:rPr>
                <w:rFonts w:hint="cs"/>
                <w:sz w:val="20"/>
                <w:szCs w:val="20"/>
              </w:rPr>
              <w:t>JP Morgan</w:t>
            </w:r>
          </w:p>
        </w:tc>
        <w:tc>
          <w:tcPr>
            <w:tcW w:w="1350" w:type="dxa"/>
          </w:tcPr>
          <w:p w14:paraId="46BB611D" w14:textId="77777777" w:rsidR="00F23FE2" w:rsidRPr="00816DDD" w:rsidRDefault="00F23FE2" w:rsidP="00567210">
            <w:pPr>
              <w:widowControl w:val="0"/>
              <w:jc w:val="center"/>
              <w:rPr>
                <w:sz w:val="20"/>
                <w:szCs w:val="20"/>
              </w:rPr>
            </w:pPr>
            <w:r w:rsidRPr="00816DDD">
              <w:rPr>
                <w:rFonts w:hint="cs"/>
                <w:sz w:val="20"/>
                <w:szCs w:val="20"/>
              </w:rPr>
              <w:t>U.S.</w:t>
            </w:r>
          </w:p>
        </w:tc>
        <w:tc>
          <w:tcPr>
            <w:tcW w:w="1530" w:type="dxa"/>
          </w:tcPr>
          <w:p w14:paraId="1D897FDC" w14:textId="77777777" w:rsidR="00F23FE2" w:rsidRPr="00816DDD" w:rsidRDefault="00F23FE2" w:rsidP="00567210">
            <w:pPr>
              <w:widowControl w:val="0"/>
              <w:jc w:val="center"/>
              <w:rPr>
                <w:sz w:val="20"/>
                <w:szCs w:val="20"/>
              </w:rPr>
            </w:pPr>
            <w:r w:rsidRPr="00816DDD">
              <w:rPr>
                <w:rFonts w:hint="cs"/>
                <w:sz w:val="20"/>
                <w:szCs w:val="20"/>
              </w:rPr>
              <w:t>9.81%</w:t>
            </w:r>
          </w:p>
        </w:tc>
      </w:tr>
      <w:tr w:rsidR="00816DDD" w:rsidRPr="00816DDD" w14:paraId="5B720A9A" w14:textId="77777777" w:rsidTr="00567210">
        <w:tc>
          <w:tcPr>
            <w:tcW w:w="857" w:type="dxa"/>
          </w:tcPr>
          <w:p w14:paraId="3B19DF32" w14:textId="77777777" w:rsidR="00F23FE2" w:rsidRPr="00816DDD" w:rsidRDefault="00F23FE2" w:rsidP="00567210">
            <w:pPr>
              <w:widowControl w:val="0"/>
              <w:jc w:val="center"/>
              <w:rPr>
                <w:sz w:val="20"/>
                <w:szCs w:val="20"/>
              </w:rPr>
            </w:pPr>
            <w:r w:rsidRPr="00816DDD">
              <w:rPr>
                <w:rFonts w:hint="cs"/>
                <w:sz w:val="20"/>
                <w:szCs w:val="20"/>
              </w:rPr>
              <w:t>2</w:t>
            </w:r>
          </w:p>
        </w:tc>
        <w:tc>
          <w:tcPr>
            <w:tcW w:w="2923" w:type="dxa"/>
          </w:tcPr>
          <w:p w14:paraId="6A945515" w14:textId="77777777" w:rsidR="00F23FE2" w:rsidRPr="00816DDD" w:rsidRDefault="00F23FE2" w:rsidP="00567210">
            <w:pPr>
              <w:widowControl w:val="0"/>
              <w:rPr>
                <w:sz w:val="20"/>
                <w:szCs w:val="20"/>
              </w:rPr>
            </w:pPr>
            <w:r w:rsidRPr="00816DDD">
              <w:rPr>
                <w:rFonts w:hint="cs"/>
                <w:sz w:val="20"/>
                <w:szCs w:val="20"/>
              </w:rPr>
              <w:t>Deutsche Bank</w:t>
            </w:r>
          </w:p>
        </w:tc>
        <w:tc>
          <w:tcPr>
            <w:tcW w:w="1350" w:type="dxa"/>
          </w:tcPr>
          <w:p w14:paraId="5790F140" w14:textId="77777777" w:rsidR="00F23FE2" w:rsidRPr="00816DDD" w:rsidRDefault="00F23FE2" w:rsidP="00567210">
            <w:pPr>
              <w:widowControl w:val="0"/>
              <w:jc w:val="center"/>
              <w:rPr>
                <w:sz w:val="20"/>
                <w:szCs w:val="20"/>
              </w:rPr>
            </w:pPr>
            <w:r w:rsidRPr="00816DDD">
              <w:rPr>
                <w:rFonts w:hint="cs"/>
                <w:sz w:val="20"/>
                <w:szCs w:val="20"/>
              </w:rPr>
              <w:t>Germany</w:t>
            </w:r>
          </w:p>
        </w:tc>
        <w:tc>
          <w:tcPr>
            <w:tcW w:w="1530" w:type="dxa"/>
          </w:tcPr>
          <w:p w14:paraId="6E84104B" w14:textId="77777777" w:rsidR="00F23FE2" w:rsidRPr="00816DDD" w:rsidRDefault="00F23FE2" w:rsidP="00567210">
            <w:pPr>
              <w:widowControl w:val="0"/>
              <w:jc w:val="center"/>
              <w:rPr>
                <w:sz w:val="20"/>
                <w:szCs w:val="20"/>
              </w:rPr>
            </w:pPr>
            <w:r w:rsidRPr="00816DDD">
              <w:rPr>
                <w:rFonts w:hint="cs"/>
                <w:sz w:val="20"/>
                <w:szCs w:val="20"/>
              </w:rPr>
              <w:t>8.41%</w:t>
            </w:r>
          </w:p>
        </w:tc>
      </w:tr>
      <w:tr w:rsidR="00816DDD" w:rsidRPr="00816DDD" w14:paraId="666FC564" w14:textId="77777777" w:rsidTr="00567210">
        <w:tc>
          <w:tcPr>
            <w:tcW w:w="857" w:type="dxa"/>
          </w:tcPr>
          <w:p w14:paraId="410D8B70" w14:textId="77777777" w:rsidR="00F23FE2" w:rsidRPr="00816DDD" w:rsidRDefault="00F23FE2" w:rsidP="00567210">
            <w:pPr>
              <w:widowControl w:val="0"/>
              <w:jc w:val="center"/>
              <w:rPr>
                <w:sz w:val="20"/>
                <w:szCs w:val="20"/>
              </w:rPr>
            </w:pPr>
            <w:r w:rsidRPr="00816DDD">
              <w:rPr>
                <w:rFonts w:hint="cs"/>
                <w:sz w:val="20"/>
                <w:szCs w:val="20"/>
              </w:rPr>
              <w:t>3</w:t>
            </w:r>
          </w:p>
        </w:tc>
        <w:tc>
          <w:tcPr>
            <w:tcW w:w="2923" w:type="dxa"/>
          </w:tcPr>
          <w:p w14:paraId="3FAB2B31" w14:textId="77777777" w:rsidR="00F23FE2" w:rsidRPr="00816DDD" w:rsidRDefault="00F23FE2" w:rsidP="00567210">
            <w:pPr>
              <w:widowControl w:val="0"/>
              <w:rPr>
                <w:sz w:val="20"/>
                <w:szCs w:val="20"/>
              </w:rPr>
            </w:pPr>
            <w:r w:rsidRPr="00816DDD">
              <w:rPr>
                <w:rFonts w:hint="cs"/>
                <w:sz w:val="20"/>
                <w:szCs w:val="20"/>
              </w:rPr>
              <w:t>Citi</w:t>
            </w:r>
          </w:p>
        </w:tc>
        <w:tc>
          <w:tcPr>
            <w:tcW w:w="1350" w:type="dxa"/>
          </w:tcPr>
          <w:p w14:paraId="24A4D909" w14:textId="77777777" w:rsidR="00F23FE2" w:rsidRPr="00816DDD" w:rsidRDefault="00F23FE2" w:rsidP="00567210">
            <w:pPr>
              <w:widowControl w:val="0"/>
              <w:jc w:val="center"/>
              <w:rPr>
                <w:sz w:val="20"/>
                <w:szCs w:val="20"/>
              </w:rPr>
            </w:pPr>
            <w:r w:rsidRPr="00816DDD">
              <w:rPr>
                <w:rFonts w:hint="cs"/>
                <w:sz w:val="20"/>
                <w:szCs w:val="20"/>
              </w:rPr>
              <w:t>U.S.</w:t>
            </w:r>
          </w:p>
        </w:tc>
        <w:tc>
          <w:tcPr>
            <w:tcW w:w="1530" w:type="dxa"/>
          </w:tcPr>
          <w:p w14:paraId="6326E6C3" w14:textId="77777777" w:rsidR="00F23FE2" w:rsidRPr="00816DDD" w:rsidRDefault="00F23FE2" w:rsidP="00567210">
            <w:pPr>
              <w:widowControl w:val="0"/>
              <w:jc w:val="center"/>
              <w:rPr>
                <w:sz w:val="20"/>
                <w:szCs w:val="20"/>
              </w:rPr>
            </w:pPr>
            <w:r w:rsidRPr="00816DDD">
              <w:rPr>
                <w:rFonts w:hint="cs"/>
                <w:sz w:val="20"/>
                <w:szCs w:val="20"/>
              </w:rPr>
              <w:t>7.87%</w:t>
            </w:r>
          </w:p>
        </w:tc>
      </w:tr>
      <w:tr w:rsidR="00816DDD" w:rsidRPr="00816DDD" w14:paraId="24B38E53" w14:textId="77777777" w:rsidTr="00567210">
        <w:tc>
          <w:tcPr>
            <w:tcW w:w="857" w:type="dxa"/>
          </w:tcPr>
          <w:p w14:paraId="68F48583" w14:textId="77777777" w:rsidR="00F23FE2" w:rsidRPr="00816DDD" w:rsidRDefault="00F23FE2" w:rsidP="00567210">
            <w:pPr>
              <w:widowControl w:val="0"/>
              <w:jc w:val="center"/>
              <w:rPr>
                <w:sz w:val="20"/>
                <w:szCs w:val="20"/>
              </w:rPr>
            </w:pPr>
            <w:r w:rsidRPr="00816DDD">
              <w:rPr>
                <w:rFonts w:hint="cs"/>
                <w:sz w:val="20"/>
                <w:szCs w:val="20"/>
              </w:rPr>
              <w:t>4</w:t>
            </w:r>
          </w:p>
        </w:tc>
        <w:tc>
          <w:tcPr>
            <w:tcW w:w="2923" w:type="dxa"/>
          </w:tcPr>
          <w:p w14:paraId="07B2D9EB" w14:textId="77777777" w:rsidR="00F23FE2" w:rsidRPr="00816DDD" w:rsidRDefault="00F23FE2" w:rsidP="00567210">
            <w:pPr>
              <w:widowControl w:val="0"/>
              <w:rPr>
                <w:sz w:val="20"/>
                <w:szCs w:val="20"/>
              </w:rPr>
            </w:pPr>
            <w:r w:rsidRPr="00816DDD">
              <w:rPr>
                <w:rFonts w:hint="cs"/>
                <w:sz w:val="20"/>
                <w:szCs w:val="20"/>
              </w:rPr>
              <w:t>XTX Markets</w:t>
            </w:r>
          </w:p>
        </w:tc>
        <w:tc>
          <w:tcPr>
            <w:tcW w:w="1350" w:type="dxa"/>
          </w:tcPr>
          <w:p w14:paraId="735ED25A" w14:textId="77777777" w:rsidR="00F23FE2" w:rsidRPr="00816DDD" w:rsidRDefault="00F23FE2" w:rsidP="00567210">
            <w:pPr>
              <w:widowControl w:val="0"/>
              <w:jc w:val="center"/>
              <w:rPr>
                <w:sz w:val="20"/>
                <w:szCs w:val="20"/>
              </w:rPr>
            </w:pPr>
            <w:r w:rsidRPr="00816DDD">
              <w:rPr>
                <w:rFonts w:hint="cs"/>
                <w:sz w:val="20"/>
                <w:szCs w:val="20"/>
              </w:rPr>
              <w:t>Great Britain</w:t>
            </w:r>
          </w:p>
        </w:tc>
        <w:tc>
          <w:tcPr>
            <w:tcW w:w="1530" w:type="dxa"/>
          </w:tcPr>
          <w:p w14:paraId="17B8B990" w14:textId="77777777" w:rsidR="00F23FE2" w:rsidRPr="00816DDD" w:rsidRDefault="00F23FE2" w:rsidP="00567210">
            <w:pPr>
              <w:widowControl w:val="0"/>
              <w:jc w:val="center"/>
              <w:rPr>
                <w:sz w:val="20"/>
                <w:szCs w:val="20"/>
              </w:rPr>
            </w:pPr>
            <w:r w:rsidRPr="00816DDD">
              <w:rPr>
                <w:rFonts w:hint="cs"/>
                <w:sz w:val="20"/>
                <w:szCs w:val="20"/>
              </w:rPr>
              <w:t>7.22%</w:t>
            </w:r>
          </w:p>
        </w:tc>
      </w:tr>
      <w:tr w:rsidR="00816DDD" w:rsidRPr="00816DDD" w14:paraId="6FF0131F" w14:textId="77777777" w:rsidTr="00567210">
        <w:tc>
          <w:tcPr>
            <w:tcW w:w="857" w:type="dxa"/>
          </w:tcPr>
          <w:p w14:paraId="1767C4CC" w14:textId="77777777" w:rsidR="00F23FE2" w:rsidRPr="00816DDD" w:rsidRDefault="00F23FE2" w:rsidP="00567210">
            <w:pPr>
              <w:widowControl w:val="0"/>
              <w:jc w:val="center"/>
              <w:rPr>
                <w:sz w:val="20"/>
                <w:szCs w:val="20"/>
              </w:rPr>
            </w:pPr>
            <w:r w:rsidRPr="00816DDD">
              <w:rPr>
                <w:rFonts w:hint="cs"/>
                <w:sz w:val="20"/>
                <w:szCs w:val="20"/>
              </w:rPr>
              <w:t>5</w:t>
            </w:r>
          </w:p>
        </w:tc>
        <w:tc>
          <w:tcPr>
            <w:tcW w:w="2923" w:type="dxa"/>
          </w:tcPr>
          <w:p w14:paraId="02F573E5" w14:textId="77777777" w:rsidR="00F23FE2" w:rsidRPr="00816DDD" w:rsidRDefault="00F23FE2" w:rsidP="00567210">
            <w:pPr>
              <w:widowControl w:val="0"/>
              <w:rPr>
                <w:sz w:val="20"/>
                <w:szCs w:val="20"/>
              </w:rPr>
            </w:pPr>
            <w:r w:rsidRPr="00816DDD">
              <w:rPr>
                <w:rFonts w:hint="cs"/>
                <w:sz w:val="20"/>
                <w:szCs w:val="20"/>
              </w:rPr>
              <w:t>UBS</w:t>
            </w:r>
          </w:p>
        </w:tc>
        <w:tc>
          <w:tcPr>
            <w:tcW w:w="1350" w:type="dxa"/>
          </w:tcPr>
          <w:p w14:paraId="1D6BCAFF" w14:textId="77777777" w:rsidR="00F23FE2" w:rsidRPr="00816DDD" w:rsidRDefault="00F23FE2" w:rsidP="00567210">
            <w:pPr>
              <w:widowControl w:val="0"/>
              <w:jc w:val="center"/>
              <w:rPr>
                <w:sz w:val="20"/>
                <w:szCs w:val="20"/>
              </w:rPr>
            </w:pPr>
            <w:r w:rsidRPr="00816DDD">
              <w:rPr>
                <w:rFonts w:hint="cs"/>
                <w:sz w:val="20"/>
                <w:szCs w:val="20"/>
              </w:rPr>
              <w:t>Switzerland</w:t>
            </w:r>
          </w:p>
        </w:tc>
        <w:tc>
          <w:tcPr>
            <w:tcW w:w="1530" w:type="dxa"/>
          </w:tcPr>
          <w:p w14:paraId="4B5751F5" w14:textId="77777777" w:rsidR="00F23FE2" w:rsidRPr="00816DDD" w:rsidRDefault="00F23FE2" w:rsidP="00567210">
            <w:pPr>
              <w:widowControl w:val="0"/>
              <w:jc w:val="center"/>
              <w:rPr>
                <w:sz w:val="20"/>
                <w:szCs w:val="20"/>
              </w:rPr>
            </w:pPr>
            <w:r w:rsidRPr="00816DDD">
              <w:rPr>
                <w:rFonts w:hint="cs"/>
                <w:sz w:val="20"/>
                <w:szCs w:val="20"/>
              </w:rPr>
              <w:t>6.63%</w:t>
            </w:r>
          </w:p>
        </w:tc>
      </w:tr>
      <w:tr w:rsidR="00816DDD" w:rsidRPr="00816DDD" w14:paraId="75CF6FCE" w14:textId="77777777" w:rsidTr="00567210">
        <w:tc>
          <w:tcPr>
            <w:tcW w:w="857" w:type="dxa"/>
          </w:tcPr>
          <w:p w14:paraId="681A7469" w14:textId="77777777" w:rsidR="00F23FE2" w:rsidRPr="00816DDD" w:rsidRDefault="00F23FE2" w:rsidP="00567210">
            <w:pPr>
              <w:widowControl w:val="0"/>
              <w:jc w:val="center"/>
              <w:rPr>
                <w:sz w:val="20"/>
                <w:szCs w:val="20"/>
              </w:rPr>
            </w:pPr>
            <w:r w:rsidRPr="00816DDD">
              <w:rPr>
                <w:rFonts w:hint="cs"/>
                <w:sz w:val="20"/>
                <w:szCs w:val="20"/>
              </w:rPr>
              <w:t>6</w:t>
            </w:r>
          </w:p>
        </w:tc>
        <w:tc>
          <w:tcPr>
            <w:tcW w:w="2923" w:type="dxa"/>
          </w:tcPr>
          <w:p w14:paraId="59F0CC91" w14:textId="77777777" w:rsidR="00F23FE2" w:rsidRPr="00816DDD" w:rsidRDefault="00F23FE2" w:rsidP="00567210">
            <w:pPr>
              <w:widowControl w:val="0"/>
              <w:rPr>
                <w:sz w:val="20"/>
                <w:szCs w:val="20"/>
              </w:rPr>
            </w:pPr>
            <w:r w:rsidRPr="00816DDD">
              <w:rPr>
                <w:rFonts w:hint="cs"/>
                <w:sz w:val="20"/>
                <w:szCs w:val="20"/>
              </w:rPr>
              <w:t>State Street Corporation</w:t>
            </w:r>
          </w:p>
        </w:tc>
        <w:tc>
          <w:tcPr>
            <w:tcW w:w="1350" w:type="dxa"/>
          </w:tcPr>
          <w:p w14:paraId="05E4AA26" w14:textId="77777777" w:rsidR="00F23FE2" w:rsidRPr="00816DDD" w:rsidRDefault="00F23FE2" w:rsidP="00567210">
            <w:pPr>
              <w:widowControl w:val="0"/>
              <w:jc w:val="center"/>
              <w:rPr>
                <w:sz w:val="20"/>
                <w:szCs w:val="20"/>
              </w:rPr>
            </w:pPr>
            <w:r w:rsidRPr="00816DDD">
              <w:rPr>
                <w:rFonts w:hint="cs"/>
                <w:sz w:val="20"/>
                <w:szCs w:val="20"/>
              </w:rPr>
              <w:t>U.S.</w:t>
            </w:r>
          </w:p>
        </w:tc>
        <w:tc>
          <w:tcPr>
            <w:tcW w:w="1530" w:type="dxa"/>
          </w:tcPr>
          <w:p w14:paraId="3060349E" w14:textId="77777777" w:rsidR="00F23FE2" w:rsidRPr="00816DDD" w:rsidRDefault="00F23FE2" w:rsidP="00567210">
            <w:pPr>
              <w:widowControl w:val="0"/>
              <w:jc w:val="center"/>
              <w:rPr>
                <w:sz w:val="20"/>
                <w:szCs w:val="20"/>
              </w:rPr>
            </w:pPr>
            <w:r w:rsidRPr="00816DDD">
              <w:rPr>
                <w:rFonts w:hint="cs"/>
                <w:sz w:val="20"/>
                <w:szCs w:val="20"/>
              </w:rPr>
              <w:t>5.50%</w:t>
            </w:r>
          </w:p>
        </w:tc>
      </w:tr>
      <w:tr w:rsidR="00816DDD" w:rsidRPr="00816DDD" w14:paraId="654909B6" w14:textId="77777777" w:rsidTr="00567210">
        <w:tc>
          <w:tcPr>
            <w:tcW w:w="857" w:type="dxa"/>
          </w:tcPr>
          <w:p w14:paraId="32012CF2" w14:textId="77777777" w:rsidR="00F23FE2" w:rsidRPr="00816DDD" w:rsidRDefault="00F23FE2" w:rsidP="00567210">
            <w:pPr>
              <w:widowControl w:val="0"/>
              <w:jc w:val="center"/>
              <w:rPr>
                <w:sz w:val="20"/>
                <w:szCs w:val="20"/>
              </w:rPr>
            </w:pPr>
            <w:r w:rsidRPr="00816DDD">
              <w:rPr>
                <w:rFonts w:hint="cs"/>
                <w:sz w:val="20"/>
                <w:szCs w:val="20"/>
              </w:rPr>
              <w:t>7</w:t>
            </w:r>
          </w:p>
        </w:tc>
        <w:tc>
          <w:tcPr>
            <w:tcW w:w="2923" w:type="dxa"/>
          </w:tcPr>
          <w:p w14:paraId="7226042C" w14:textId="77777777" w:rsidR="00F23FE2" w:rsidRPr="00816DDD" w:rsidRDefault="00F23FE2" w:rsidP="00567210">
            <w:pPr>
              <w:widowControl w:val="0"/>
              <w:rPr>
                <w:sz w:val="20"/>
                <w:szCs w:val="20"/>
              </w:rPr>
            </w:pPr>
            <w:r w:rsidRPr="00816DDD">
              <w:rPr>
                <w:rFonts w:hint="cs"/>
                <w:sz w:val="20"/>
                <w:szCs w:val="20"/>
              </w:rPr>
              <w:t>HC Tech</w:t>
            </w:r>
          </w:p>
        </w:tc>
        <w:tc>
          <w:tcPr>
            <w:tcW w:w="1350" w:type="dxa"/>
          </w:tcPr>
          <w:p w14:paraId="377AF808" w14:textId="77777777" w:rsidR="00F23FE2" w:rsidRPr="00816DDD" w:rsidRDefault="00F23FE2" w:rsidP="00567210">
            <w:pPr>
              <w:widowControl w:val="0"/>
              <w:jc w:val="center"/>
              <w:rPr>
                <w:sz w:val="20"/>
                <w:szCs w:val="20"/>
              </w:rPr>
            </w:pPr>
            <w:r w:rsidRPr="00816DDD">
              <w:rPr>
                <w:rFonts w:hint="cs"/>
                <w:sz w:val="20"/>
                <w:szCs w:val="20"/>
              </w:rPr>
              <w:t>U.S.</w:t>
            </w:r>
          </w:p>
        </w:tc>
        <w:tc>
          <w:tcPr>
            <w:tcW w:w="1530" w:type="dxa"/>
          </w:tcPr>
          <w:p w14:paraId="038A220D" w14:textId="77777777" w:rsidR="00F23FE2" w:rsidRPr="00816DDD" w:rsidRDefault="00F23FE2" w:rsidP="00567210">
            <w:pPr>
              <w:widowControl w:val="0"/>
              <w:jc w:val="center"/>
              <w:rPr>
                <w:sz w:val="20"/>
                <w:szCs w:val="20"/>
              </w:rPr>
            </w:pPr>
            <w:r w:rsidRPr="00816DDD">
              <w:rPr>
                <w:rFonts w:hint="cs"/>
                <w:sz w:val="20"/>
                <w:szCs w:val="20"/>
              </w:rPr>
              <w:t>5.28%</w:t>
            </w:r>
          </w:p>
        </w:tc>
      </w:tr>
      <w:tr w:rsidR="00816DDD" w:rsidRPr="00816DDD" w14:paraId="3E7BC956" w14:textId="77777777" w:rsidTr="00567210">
        <w:tc>
          <w:tcPr>
            <w:tcW w:w="857" w:type="dxa"/>
          </w:tcPr>
          <w:p w14:paraId="3E0685C6" w14:textId="77777777" w:rsidR="00F23FE2" w:rsidRPr="00816DDD" w:rsidRDefault="00F23FE2" w:rsidP="00567210">
            <w:pPr>
              <w:widowControl w:val="0"/>
              <w:jc w:val="center"/>
              <w:rPr>
                <w:sz w:val="20"/>
                <w:szCs w:val="20"/>
              </w:rPr>
            </w:pPr>
            <w:r w:rsidRPr="00816DDD">
              <w:rPr>
                <w:rFonts w:hint="cs"/>
                <w:sz w:val="20"/>
                <w:szCs w:val="20"/>
              </w:rPr>
              <w:t>8</w:t>
            </w:r>
          </w:p>
        </w:tc>
        <w:tc>
          <w:tcPr>
            <w:tcW w:w="2923" w:type="dxa"/>
          </w:tcPr>
          <w:p w14:paraId="1B46E409" w14:textId="77777777" w:rsidR="00F23FE2" w:rsidRPr="00816DDD" w:rsidRDefault="00F23FE2" w:rsidP="00567210">
            <w:pPr>
              <w:widowControl w:val="0"/>
              <w:rPr>
                <w:sz w:val="20"/>
                <w:szCs w:val="20"/>
              </w:rPr>
            </w:pPr>
            <w:r w:rsidRPr="00816DDD">
              <w:rPr>
                <w:rFonts w:hint="cs"/>
                <w:sz w:val="20"/>
                <w:szCs w:val="20"/>
              </w:rPr>
              <w:t>HSBC</w:t>
            </w:r>
          </w:p>
        </w:tc>
        <w:tc>
          <w:tcPr>
            <w:tcW w:w="1350" w:type="dxa"/>
          </w:tcPr>
          <w:p w14:paraId="09A6DE5A" w14:textId="77777777" w:rsidR="00F23FE2" w:rsidRPr="00816DDD" w:rsidRDefault="00F23FE2" w:rsidP="00567210">
            <w:pPr>
              <w:widowControl w:val="0"/>
              <w:jc w:val="center"/>
              <w:rPr>
                <w:sz w:val="20"/>
                <w:szCs w:val="20"/>
              </w:rPr>
            </w:pPr>
            <w:r w:rsidRPr="00816DDD">
              <w:rPr>
                <w:rFonts w:hint="cs"/>
                <w:sz w:val="20"/>
                <w:szCs w:val="20"/>
              </w:rPr>
              <w:t>Great Britain</w:t>
            </w:r>
          </w:p>
        </w:tc>
        <w:tc>
          <w:tcPr>
            <w:tcW w:w="1530" w:type="dxa"/>
          </w:tcPr>
          <w:p w14:paraId="61ACD532" w14:textId="77777777" w:rsidR="00F23FE2" w:rsidRPr="00816DDD" w:rsidRDefault="00F23FE2" w:rsidP="00567210">
            <w:pPr>
              <w:widowControl w:val="0"/>
              <w:jc w:val="center"/>
              <w:rPr>
                <w:sz w:val="20"/>
                <w:szCs w:val="20"/>
              </w:rPr>
            </w:pPr>
            <w:r w:rsidRPr="00816DDD">
              <w:rPr>
                <w:rFonts w:hint="cs"/>
                <w:sz w:val="20"/>
                <w:szCs w:val="20"/>
              </w:rPr>
              <w:t>4.93%</w:t>
            </w:r>
          </w:p>
        </w:tc>
      </w:tr>
      <w:tr w:rsidR="00816DDD" w:rsidRPr="00816DDD" w14:paraId="3885F089" w14:textId="77777777" w:rsidTr="00567210">
        <w:tc>
          <w:tcPr>
            <w:tcW w:w="857" w:type="dxa"/>
          </w:tcPr>
          <w:p w14:paraId="2DE7D0D8" w14:textId="77777777" w:rsidR="00F23FE2" w:rsidRPr="00816DDD" w:rsidRDefault="00F23FE2" w:rsidP="00567210">
            <w:pPr>
              <w:widowControl w:val="0"/>
              <w:jc w:val="center"/>
              <w:rPr>
                <w:sz w:val="20"/>
                <w:szCs w:val="20"/>
              </w:rPr>
            </w:pPr>
            <w:r w:rsidRPr="00816DDD">
              <w:rPr>
                <w:rFonts w:hint="cs"/>
                <w:sz w:val="20"/>
                <w:szCs w:val="20"/>
              </w:rPr>
              <w:t>9</w:t>
            </w:r>
          </w:p>
        </w:tc>
        <w:tc>
          <w:tcPr>
            <w:tcW w:w="2923" w:type="dxa"/>
          </w:tcPr>
          <w:p w14:paraId="3143B7D3" w14:textId="77777777" w:rsidR="00F23FE2" w:rsidRPr="00816DDD" w:rsidRDefault="00F23FE2" w:rsidP="00567210">
            <w:pPr>
              <w:widowControl w:val="0"/>
              <w:rPr>
                <w:sz w:val="20"/>
                <w:szCs w:val="20"/>
              </w:rPr>
            </w:pPr>
            <w:r w:rsidRPr="00816DDD">
              <w:rPr>
                <w:rFonts w:hint="cs"/>
                <w:sz w:val="20"/>
                <w:szCs w:val="20"/>
              </w:rPr>
              <w:t>Bank of America Merrill Lynch</w:t>
            </w:r>
          </w:p>
        </w:tc>
        <w:tc>
          <w:tcPr>
            <w:tcW w:w="1350" w:type="dxa"/>
          </w:tcPr>
          <w:p w14:paraId="0DEFECD3" w14:textId="77777777" w:rsidR="00F23FE2" w:rsidRPr="00816DDD" w:rsidRDefault="00F23FE2" w:rsidP="00567210">
            <w:pPr>
              <w:widowControl w:val="0"/>
              <w:jc w:val="center"/>
              <w:rPr>
                <w:sz w:val="20"/>
                <w:szCs w:val="20"/>
              </w:rPr>
            </w:pPr>
            <w:r w:rsidRPr="00816DDD">
              <w:rPr>
                <w:rFonts w:hint="cs"/>
                <w:sz w:val="20"/>
                <w:szCs w:val="20"/>
              </w:rPr>
              <w:t>U.S.</w:t>
            </w:r>
          </w:p>
        </w:tc>
        <w:tc>
          <w:tcPr>
            <w:tcW w:w="1530" w:type="dxa"/>
          </w:tcPr>
          <w:p w14:paraId="485D25F5" w14:textId="77777777" w:rsidR="00F23FE2" w:rsidRPr="00816DDD" w:rsidRDefault="00F23FE2" w:rsidP="00567210">
            <w:pPr>
              <w:widowControl w:val="0"/>
              <w:jc w:val="center"/>
              <w:rPr>
                <w:sz w:val="20"/>
                <w:szCs w:val="20"/>
              </w:rPr>
            </w:pPr>
            <w:r w:rsidRPr="00816DDD">
              <w:rPr>
                <w:rFonts w:hint="cs"/>
                <w:sz w:val="20"/>
                <w:szCs w:val="20"/>
              </w:rPr>
              <w:t>4.63%</w:t>
            </w:r>
          </w:p>
        </w:tc>
      </w:tr>
      <w:tr w:rsidR="00F23FE2" w:rsidRPr="00816DDD" w14:paraId="5F4FEA96" w14:textId="77777777" w:rsidTr="00567210">
        <w:tc>
          <w:tcPr>
            <w:tcW w:w="857" w:type="dxa"/>
          </w:tcPr>
          <w:p w14:paraId="05698B05" w14:textId="77777777" w:rsidR="00F23FE2" w:rsidRPr="00816DDD" w:rsidRDefault="00F23FE2" w:rsidP="00567210">
            <w:pPr>
              <w:widowControl w:val="0"/>
              <w:jc w:val="center"/>
              <w:rPr>
                <w:sz w:val="20"/>
                <w:szCs w:val="20"/>
              </w:rPr>
            </w:pPr>
            <w:r w:rsidRPr="00816DDD">
              <w:rPr>
                <w:rFonts w:hint="cs"/>
                <w:sz w:val="20"/>
                <w:szCs w:val="20"/>
              </w:rPr>
              <w:t>10</w:t>
            </w:r>
          </w:p>
        </w:tc>
        <w:tc>
          <w:tcPr>
            <w:tcW w:w="2923" w:type="dxa"/>
          </w:tcPr>
          <w:p w14:paraId="3D06EABA" w14:textId="77777777" w:rsidR="00F23FE2" w:rsidRPr="00816DDD" w:rsidRDefault="00F23FE2" w:rsidP="00567210">
            <w:pPr>
              <w:widowControl w:val="0"/>
              <w:rPr>
                <w:sz w:val="20"/>
                <w:szCs w:val="20"/>
              </w:rPr>
            </w:pPr>
            <w:r w:rsidRPr="00816DDD">
              <w:rPr>
                <w:rFonts w:hint="cs"/>
                <w:sz w:val="20"/>
                <w:szCs w:val="20"/>
              </w:rPr>
              <w:t>Goldman Sachs</w:t>
            </w:r>
          </w:p>
        </w:tc>
        <w:tc>
          <w:tcPr>
            <w:tcW w:w="1350" w:type="dxa"/>
          </w:tcPr>
          <w:p w14:paraId="4D67A5FB" w14:textId="77777777" w:rsidR="00F23FE2" w:rsidRPr="00816DDD" w:rsidRDefault="00F23FE2" w:rsidP="00567210">
            <w:pPr>
              <w:widowControl w:val="0"/>
              <w:jc w:val="center"/>
              <w:rPr>
                <w:sz w:val="20"/>
                <w:szCs w:val="20"/>
              </w:rPr>
            </w:pPr>
            <w:r w:rsidRPr="00816DDD">
              <w:rPr>
                <w:rFonts w:hint="cs"/>
                <w:sz w:val="20"/>
                <w:szCs w:val="20"/>
              </w:rPr>
              <w:t>U.S.</w:t>
            </w:r>
          </w:p>
        </w:tc>
        <w:tc>
          <w:tcPr>
            <w:tcW w:w="1530" w:type="dxa"/>
          </w:tcPr>
          <w:p w14:paraId="1C5761CE" w14:textId="77777777" w:rsidR="00F23FE2" w:rsidRPr="00816DDD" w:rsidRDefault="00F23FE2" w:rsidP="00567210">
            <w:pPr>
              <w:widowControl w:val="0"/>
              <w:jc w:val="center"/>
              <w:rPr>
                <w:sz w:val="20"/>
                <w:szCs w:val="20"/>
              </w:rPr>
            </w:pPr>
            <w:r w:rsidRPr="00816DDD">
              <w:rPr>
                <w:rFonts w:hint="cs"/>
                <w:sz w:val="20"/>
                <w:szCs w:val="20"/>
              </w:rPr>
              <w:t>4.50%</w:t>
            </w:r>
          </w:p>
        </w:tc>
      </w:tr>
    </w:tbl>
    <w:p w14:paraId="17E752AA" w14:textId="77777777" w:rsidR="00F23FE2" w:rsidRPr="00816DDD" w:rsidRDefault="00F23FE2" w:rsidP="00F23FE2">
      <w:pPr>
        <w:widowControl w:val="0"/>
        <w:spacing w:after="0" w:line="240" w:lineRule="auto"/>
        <w:rPr>
          <w:szCs w:val="24"/>
        </w:rPr>
      </w:pPr>
    </w:p>
    <w:p w14:paraId="205AF2E4" w14:textId="7A60960E" w:rsidR="00F23FE2" w:rsidRPr="00816DDD" w:rsidRDefault="00F23FE2" w:rsidP="0051511B">
      <w:pPr>
        <w:widowControl w:val="0"/>
        <w:spacing w:after="0" w:line="240" w:lineRule="auto"/>
        <w:ind w:right="-306"/>
        <w:rPr>
          <w:szCs w:val="24"/>
        </w:rPr>
      </w:pPr>
      <w:r w:rsidRPr="00816DDD">
        <w:rPr>
          <w:rFonts w:hint="cs"/>
          <w:szCs w:val="24"/>
        </w:rPr>
        <w:lastRenderedPageBreak/>
        <w:t>Reporting dealers must be large so they can offer competitive price quotations on their different FX products.  Their size provides economies of scale</w:t>
      </w:r>
      <w:r w:rsidR="00AA0B27">
        <w:rPr>
          <w:szCs w:val="24"/>
        </w:rPr>
        <w:t>,</w:t>
      </w:r>
      <w:r w:rsidRPr="00816DDD">
        <w:rPr>
          <w:rFonts w:hint="cs"/>
          <w:szCs w:val="24"/>
        </w:rPr>
        <w:t xml:space="preserve"> justifying the considerable upfront investment in computer technology.  A varied and global client base is also required to source much of the currency needed within the firm instead of trading with other dealers</w:t>
      </w:r>
      <w:r w:rsidR="00AA0B27">
        <w:rPr>
          <w:szCs w:val="24"/>
        </w:rPr>
        <w:t>,</w:t>
      </w:r>
      <w:r w:rsidRPr="00816DDD">
        <w:rPr>
          <w:rFonts w:hint="cs"/>
          <w:szCs w:val="24"/>
        </w:rPr>
        <w:t xml:space="preserve"> further reducing costs.  </w:t>
      </w:r>
    </w:p>
    <w:p w14:paraId="5C24D1F8" w14:textId="77777777" w:rsidR="00F23FE2" w:rsidRPr="00816DDD" w:rsidRDefault="00F23FE2" w:rsidP="00F23FE2">
      <w:pPr>
        <w:widowControl w:val="0"/>
        <w:spacing w:after="0" w:line="240" w:lineRule="auto"/>
        <w:rPr>
          <w:szCs w:val="24"/>
        </w:rPr>
      </w:pPr>
    </w:p>
    <w:p w14:paraId="0F819B4F" w14:textId="1711FACB" w:rsidR="00B55885" w:rsidRDefault="00F23FE2" w:rsidP="00B81FE3">
      <w:pPr>
        <w:widowControl w:val="0"/>
        <w:spacing w:after="0" w:line="240" w:lineRule="auto"/>
        <w:rPr>
          <w:szCs w:val="24"/>
        </w:rPr>
      </w:pPr>
      <w:r w:rsidRPr="00816DDD">
        <w:rPr>
          <w:rFonts w:hint="cs"/>
          <w:szCs w:val="24"/>
        </w:rPr>
        <w:t xml:space="preserve">The buy-side consists of the clients of </w:t>
      </w:r>
      <w:r w:rsidR="003D1AFC" w:rsidRPr="00816DDD">
        <w:rPr>
          <w:szCs w:val="24"/>
        </w:rPr>
        <w:t xml:space="preserve">the </w:t>
      </w:r>
      <w:r w:rsidRPr="00816DDD">
        <w:rPr>
          <w:rFonts w:hint="cs"/>
          <w:szCs w:val="24"/>
        </w:rPr>
        <w:t xml:space="preserve">sell-side reporting dealers.  These clients are divided into non-financial customers and other financial institutions.  </w:t>
      </w:r>
    </w:p>
    <w:p w14:paraId="4BF167E2" w14:textId="77777777" w:rsidR="00B81FE3" w:rsidRPr="00B81FE3" w:rsidRDefault="00B81FE3" w:rsidP="00B81FE3">
      <w:pPr>
        <w:widowControl w:val="0"/>
        <w:spacing w:after="0" w:line="240" w:lineRule="auto"/>
        <w:rPr>
          <w:szCs w:val="24"/>
        </w:rPr>
      </w:pPr>
    </w:p>
    <w:p w14:paraId="49207F48" w14:textId="6B149413" w:rsidR="00F23FE2" w:rsidRPr="00816DDD" w:rsidRDefault="00F23FE2" w:rsidP="00F23FE2">
      <w:pPr>
        <w:widowControl w:val="0"/>
        <w:spacing w:after="0" w:line="240" w:lineRule="auto"/>
        <w:ind w:left="360"/>
        <w:rPr>
          <w:b/>
          <w:szCs w:val="24"/>
        </w:rPr>
      </w:pPr>
      <w:r w:rsidRPr="00816DDD">
        <w:rPr>
          <w:rFonts w:hint="cs"/>
          <w:b/>
          <w:szCs w:val="24"/>
        </w:rPr>
        <w:t xml:space="preserve">Non-financial customers </w:t>
      </w:r>
    </w:p>
    <w:p w14:paraId="7EBFBEF9" w14:textId="77777777" w:rsidR="00F23FE2" w:rsidRPr="00816DDD" w:rsidRDefault="00F23FE2" w:rsidP="00F23FE2">
      <w:pPr>
        <w:widowControl w:val="0"/>
        <w:spacing w:after="0" w:line="240" w:lineRule="auto"/>
        <w:ind w:left="360"/>
        <w:rPr>
          <w:b/>
          <w:szCs w:val="24"/>
        </w:rPr>
      </w:pPr>
    </w:p>
    <w:p w14:paraId="1D0E6426" w14:textId="555CF4F6" w:rsidR="00F23FE2" w:rsidRPr="00816DDD" w:rsidRDefault="00F23FE2" w:rsidP="00F23FE2">
      <w:pPr>
        <w:widowControl w:val="0"/>
        <w:tabs>
          <w:tab w:val="left" w:pos="720"/>
        </w:tabs>
        <w:spacing w:after="0" w:line="240" w:lineRule="auto"/>
        <w:ind w:left="720" w:right="-180"/>
        <w:rPr>
          <w:szCs w:val="24"/>
        </w:rPr>
      </w:pPr>
      <w:r w:rsidRPr="00816DDD">
        <w:rPr>
          <w:rFonts w:hint="cs"/>
          <w:b/>
          <w:szCs w:val="24"/>
        </w:rPr>
        <w:t>Corporate accounts.</w:t>
      </w:r>
      <w:r w:rsidRPr="00816DDD">
        <w:rPr>
          <w:rFonts w:hint="cs"/>
          <w:szCs w:val="24"/>
        </w:rPr>
        <w:t xml:space="preserve">  Major corporations need foreign currency to import goods and services, make business acquisitions abroad, or establish overseas subsidiaries.  Foreign currency earned </w:t>
      </w:r>
      <w:r w:rsidR="00142B1B">
        <w:rPr>
          <w:szCs w:val="24"/>
        </w:rPr>
        <w:t xml:space="preserve">by </w:t>
      </w:r>
      <w:r w:rsidRPr="00816DDD">
        <w:rPr>
          <w:rFonts w:hint="cs"/>
          <w:szCs w:val="24"/>
        </w:rPr>
        <w:t xml:space="preserve">operating overseas subsidiaries needs to be repatriated.  Financing raised in other countries must be converted to fund domestic operations.  Large </w:t>
      </w:r>
      <w:r w:rsidR="007217C7" w:rsidRPr="00816DDD">
        <w:rPr>
          <w:szCs w:val="24"/>
        </w:rPr>
        <w:t xml:space="preserve">multinational corporations </w:t>
      </w:r>
      <w:r w:rsidRPr="00816DDD">
        <w:rPr>
          <w:rFonts w:hint="cs"/>
          <w:szCs w:val="24"/>
        </w:rPr>
        <w:t>transact directly with reporting dealers</w:t>
      </w:r>
      <w:r w:rsidR="00E027CB" w:rsidRPr="00816DDD">
        <w:rPr>
          <w:szCs w:val="24"/>
        </w:rPr>
        <w:t xml:space="preserve"> because of </w:t>
      </w:r>
      <w:r w:rsidR="008C7E1D" w:rsidRPr="00816DDD">
        <w:rPr>
          <w:szCs w:val="24"/>
        </w:rPr>
        <w:t xml:space="preserve">high </w:t>
      </w:r>
      <w:r w:rsidR="00E027CB" w:rsidRPr="00816DDD">
        <w:rPr>
          <w:szCs w:val="24"/>
        </w:rPr>
        <w:t>transaction</w:t>
      </w:r>
      <w:r w:rsidR="008C7E1D" w:rsidRPr="00816DDD">
        <w:rPr>
          <w:szCs w:val="24"/>
        </w:rPr>
        <w:t xml:space="preserve"> volumes</w:t>
      </w:r>
      <w:r w:rsidR="00E027CB" w:rsidRPr="00816DDD">
        <w:rPr>
          <w:szCs w:val="24"/>
        </w:rPr>
        <w:t>.</w:t>
      </w:r>
    </w:p>
    <w:p w14:paraId="4C24CBDD" w14:textId="77777777" w:rsidR="00F23FE2" w:rsidRPr="00816DDD" w:rsidRDefault="00F23FE2" w:rsidP="00F23FE2">
      <w:pPr>
        <w:widowControl w:val="0"/>
        <w:tabs>
          <w:tab w:val="left" w:pos="720"/>
        </w:tabs>
        <w:spacing w:after="0" w:line="240" w:lineRule="auto"/>
        <w:ind w:left="720"/>
        <w:rPr>
          <w:szCs w:val="24"/>
        </w:rPr>
      </w:pPr>
    </w:p>
    <w:p w14:paraId="3AADB0C2" w14:textId="0E2BE06A" w:rsidR="00F23FE2" w:rsidRPr="00816DDD" w:rsidRDefault="00F23FE2" w:rsidP="00F23FE2">
      <w:pPr>
        <w:widowControl w:val="0"/>
        <w:tabs>
          <w:tab w:val="left" w:pos="720"/>
        </w:tabs>
        <w:spacing w:after="0" w:line="240" w:lineRule="auto"/>
        <w:ind w:left="720"/>
        <w:rPr>
          <w:szCs w:val="24"/>
        </w:rPr>
      </w:pPr>
      <w:r w:rsidRPr="00816DDD">
        <w:rPr>
          <w:rFonts w:hint="cs"/>
          <w:b/>
          <w:szCs w:val="24"/>
        </w:rPr>
        <w:t>Private individuals.</w:t>
      </w:r>
      <w:r w:rsidRPr="00816DDD">
        <w:rPr>
          <w:rFonts w:hint="cs"/>
          <w:szCs w:val="24"/>
        </w:rPr>
        <w:t xml:space="preserve">  Very </w:t>
      </w:r>
      <w:r w:rsidR="00142B1B">
        <w:rPr>
          <w:szCs w:val="24"/>
        </w:rPr>
        <w:t>high-net-worth</w:t>
      </w:r>
      <w:r w:rsidRPr="00816DDD">
        <w:rPr>
          <w:rFonts w:hint="cs"/>
          <w:szCs w:val="24"/>
        </w:rPr>
        <w:t xml:space="preserve"> individuals</w:t>
      </w:r>
      <w:r w:rsidR="00027C8C" w:rsidRPr="00816DDD">
        <w:rPr>
          <w:szCs w:val="24"/>
        </w:rPr>
        <w:t xml:space="preserve"> </w:t>
      </w:r>
      <w:r w:rsidRPr="00816DDD">
        <w:rPr>
          <w:rFonts w:hint="cs"/>
          <w:szCs w:val="24"/>
        </w:rPr>
        <w:t xml:space="preserve">trade directly with reporting dealers </w:t>
      </w:r>
      <w:r w:rsidR="008C7E1D" w:rsidRPr="00816DDD">
        <w:rPr>
          <w:szCs w:val="24"/>
        </w:rPr>
        <w:t>using the</w:t>
      </w:r>
      <w:r w:rsidR="00462E30" w:rsidRPr="00816DDD">
        <w:rPr>
          <w:szCs w:val="24"/>
        </w:rPr>
        <w:t xml:space="preserve">ir </w:t>
      </w:r>
      <w:r w:rsidRPr="00816DDD">
        <w:rPr>
          <w:rFonts w:hint="cs"/>
          <w:szCs w:val="24"/>
        </w:rPr>
        <w:t>online trading platform or</w:t>
      </w:r>
      <w:r w:rsidR="008C7E1D" w:rsidRPr="00816DDD">
        <w:rPr>
          <w:szCs w:val="24"/>
        </w:rPr>
        <w:t xml:space="preserve"> by placing </w:t>
      </w:r>
      <w:r w:rsidRPr="00816DDD">
        <w:rPr>
          <w:rFonts w:hint="cs"/>
          <w:szCs w:val="24"/>
        </w:rPr>
        <w:t>phone-in</w:t>
      </w:r>
      <w:r w:rsidR="008C7E1D" w:rsidRPr="00816DDD">
        <w:rPr>
          <w:szCs w:val="24"/>
        </w:rPr>
        <w:t xml:space="preserve"> orders</w:t>
      </w:r>
      <w:r w:rsidR="00462E30" w:rsidRPr="00816DDD">
        <w:rPr>
          <w:szCs w:val="24"/>
        </w:rPr>
        <w:t>.</w:t>
      </w:r>
    </w:p>
    <w:p w14:paraId="3462C34A" w14:textId="77777777" w:rsidR="00F23FE2" w:rsidRPr="00816DDD" w:rsidRDefault="00F23FE2" w:rsidP="00F23FE2">
      <w:pPr>
        <w:widowControl w:val="0"/>
        <w:tabs>
          <w:tab w:val="left" w:pos="720"/>
        </w:tabs>
        <w:spacing w:after="0" w:line="240" w:lineRule="auto"/>
        <w:ind w:left="720"/>
        <w:rPr>
          <w:szCs w:val="24"/>
        </w:rPr>
      </w:pPr>
    </w:p>
    <w:p w14:paraId="4BEACC4B" w14:textId="7DADF741" w:rsidR="00F23FE2" w:rsidRPr="00816DDD" w:rsidRDefault="00F23FE2" w:rsidP="00F23FE2">
      <w:pPr>
        <w:widowControl w:val="0"/>
        <w:tabs>
          <w:tab w:val="left" w:pos="720"/>
        </w:tabs>
        <w:spacing w:after="0" w:line="240" w:lineRule="auto"/>
        <w:ind w:left="720"/>
        <w:rPr>
          <w:szCs w:val="24"/>
        </w:rPr>
      </w:pPr>
      <w:r w:rsidRPr="00816DDD">
        <w:rPr>
          <w:rFonts w:hint="cs"/>
          <w:b/>
          <w:szCs w:val="24"/>
        </w:rPr>
        <w:t>Governments.</w:t>
      </w:r>
      <w:r w:rsidRPr="00816DDD">
        <w:rPr>
          <w:rFonts w:hint="cs"/>
          <w:szCs w:val="24"/>
        </w:rPr>
        <w:t xml:space="preserve">  Governments </w:t>
      </w:r>
      <w:r w:rsidR="000A6B0B" w:rsidRPr="00816DDD">
        <w:rPr>
          <w:szCs w:val="24"/>
        </w:rPr>
        <w:t xml:space="preserve">trade directly as they </w:t>
      </w:r>
      <w:r w:rsidRPr="00816DDD">
        <w:rPr>
          <w:rFonts w:hint="cs"/>
          <w:szCs w:val="24"/>
        </w:rPr>
        <w:t>require large amounts of foreign currency to purchase goods and services such as military equipment; maintain foreign military bases, embassies, and consulates; provide foreign aid; or make contributions to international organizations like the United Nations</w:t>
      </w:r>
      <w:r w:rsidR="008C7E1D" w:rsidRPr="00816DDD">
        <w:rPr>
          <w:szCs w:val="24"/>
        </w:rPr>
        <w:t>.</w:t>
      </w:r>
      <w:r w:rsidRPr="00816DDD">
        <w:rPr>
          <w:rFonts w:hint="cs"/>
          <w:szCs w:val="24"/>
        </w:rPr>
        <w:t xml:space="preserve">  </w:t>
      </w:r>
    </w:p>
    <w:p w14:paraId="09AC2DFE" w14:textId="77777777" w:rsidR="00F23FE2" w:rsidRPr="00816DDD" w:rsidRDefault="00F23FE2" w:rsidP="00F23FE2">
      <w:pPr>
        <w:widowControl w:val="0"/>
        <w:spacing w:after="0" w:line="240" w:lineRule="auto"/>
        <w:rPr>
          <w:b/>
          <w:szCs w:val="24"/>
        </w:rPr>
      </w:pPr>
    </w:p>
    <w:p w14:paraId="2D6D2D76" w14:textId="77777777" w:rsidR="00F23FE2" w:rsidRPr="00816DDD" w:rsidRDefault="00F23FE2" w:rsidP="00F23FE2">
      <w:pPr>
        <w:widowControl w:val="0"/>
        <w:spacing w:after="0" w:line="240" w:lineRule="auto"/>
        <w:ind w:left="360"/>
        <w:rPr>
          <w:b/>
          <w:szCs w:val="24"/>
        </w:rPr>
      </w:pPr>
      <w:r w:rsidRPr="00816DDD">
        <w:rPr>
          <w:rFonts w:hint="cs"/>
          <w:b/>
          <w:szCs w:val="24"/>
        </w:rPr>
        <w:t>Other financial institutions</w:t>
      </w:r>
    </w:p>
    <w:p w14:paraId="5075C695" w14:textId="77777777" w:rsidR="00F23FE2" w:rsidRPr="00816DDD" w:rsidRDefault="00F23FE2" w:rsidP="00F23FE2">
      <w:pPr>
        <w:widowControl w:val="0"/>
        <w:spacing w:after="0" w:line="240" w:lineRule="auto"/>
        <w:rPr>
          <w:b/>
          <w:szCs w:val="24"/>
        </w:rPr>
      </w:pPr>
    </w:p>
    <w:p w14:paraId="0E029A36" w14:textId="3C78478D" w:rsidR="005145ED" w:rsidRPr="00816DDD" w:rsidRDefault="00F23FE2" w:rsidP="00AE1C67">
      <w:pPr>
        <w:widowControl w:val="0"/>
        <w:spacing w:after="0" w:line="240" w:lineRule="auto"/>
        <w:ind w:left="720" w:right="54"/>
        <w:rPr>
          <w:szCs w:val="24"/>
        </w:rPr>
      </w:pPr>
      <w:r w:rsidRPr="00816DDD">
        <w:rPr>
          <w:rFonts w:hint="cs"/>
          <w:b/>
          <w:szCs w:val="24"/>
        </w:rPr>
        <w:t>Non-reporting banks.</w:t>
      </w:r>
      <w:r w:rsidRPr="00816DDD">
        <w:rPr>
          <w:rFonts w:hint="cs"/>
          <w:szCs w:val="24"/>
        </w:rPr>
        <w:t xml:space="preserve">  </w:t>
      </w:r>
      <w:r w:rsidR="009A4E93" w:rsidRPr="00816DDD">
        <w:rPr>
          <w:szCs w:val="24"/>
        </w:rPr>
        <w:t xml:space="preserve">Small and medium-sized businesses and lower </w:t>
      </w:r>
      <w:r w:rsidR="003E6E98">
        <w:rPr>
          <w:szCs w:val="24"/>
        </w:rPr>
        <w:t>net-worth</w:t>
      </w:r>
      <w:r w:rsidR="009A4E93" w:rsidRPr="00816DDD">
        <w:rPr>
          <w:szCs w:val="24"/>
        </w:rPr>
        <w:t xml:space="preserve"> individuals </w:t>
      </w:r>
      <w:r w:rsidRPr="00816DDD">
        <w:rPr>
          <w:rFonts w:hint="cs"/>
          <w:szCs w:val="24"/>
        </w:rPr>
        <w:t>need to buy or sell foreign currency</w:t>
      </w:r>
      <w:r w:rsidR="009A4E93" w:rsidRPr="00816DDD">
        <w:rPr>
          <w:szCs w:val="24"/>
        </w:rPr>
        <w:t xml:space="preserve"> </w:t>
      </w:r>
      <w:r w:rsidRPr="00816DDD">
        <w:rPr>
          <w:rFonts w:hint="cs"/>
          <w:szCs w:val="24"/>
        </w:rPr>
        <w:t>but</w:t>
      </w:r>
      <w:r w:rsidR="009A4E93" w:rsidRPr="00816DDD">
        <w:rPr>
          <w:szCs w:val="24"/>
        </w:rPr>
        <w:t xml:space="preserve"> </w:t>
      </w:r>
      <w:r w:rsidRPr="00816DDD">
        <w:rPr>
          <w:rFonts w:hint="cs"/>
          <w:szCs w:val="24"/>
        </w:rPr>
        <w:t xml:space="preserve">are </w:t>
      </w:r>
      <w:r w:rsidR="007217C7" w:rsidRPr="00816DDD">
        <w:rPr>
          <w:szCs w:val="24"/>
        </w:rPr>
        <w:t xml:space="preserve">too small </w:t>
      </w:r>
      <w:r w:rsidRPr="00816DDD">
        <w:rPr>
          <w:rFonts w:hint="cs"/>
          <w:szCs w:val="24"/>
        </w:rPr>
        <w:t>to trade directly with reporting dealer</w:t>
      </w:r>
      <w:r w:rsidR="000A6B0B" w:rsidRPr="00816DDD">
        <w:rPr>
          <w:szCs w:val="24"/>
        </w:rPr>
        <w:t>s</w:t>
      </w:r>
      <w:r w:rsidRPr="00816DDD">
        <w:rPr>
          <w:rFonts w:hint="cs"/>
          <w:szCs w:val="24"/>
        </w:rPr>
        <w:t>.  Individual</w:t>
      </w:r>
      <w:r w:rsidR="009A4E93" w:rsidRPr="00816DDD">
        <w:rPr>
          <w:szCs w:val="24"/>
        </w:rPr>
        <w:t xml:space="preserve">s </w:t>
      </w:r>
      <w:r w:rsidRPr="00816DDD">
        <w:rPr>
          <w:rFonts w:hint="cs"/>
          <w:szCs w:val="24"/>
        </w:rPr>
        <w:t xml:space="preserve">purchase foreign currency to travel </w:t>
      </w:r>
      <w:r w:rsidR="003E6E98">
        <w:rPr>
          <w:szCs w:val="24"/>
        </w:rPr>
        <w:t>abroad</w:t>
      </w:r>
      <w:r w:rsidRPr="00816DDD">
        <w:rPr>
          <w:rFonts w:hint="cs"/>
          <w:szCs w:val="24"/>
        </w:rPr>
        <w:t xml:space="preserve"> or acquire property outside the country.  Many hold funds in other currencies to hedge a depreciating domestic currency, earn higher investment returns</w:t>
      </w:r>
      <w:r w:rsidR="005145ED" w:rsidRPr="00816DDD">
        <w:rPr>
          <w:szCs w:val="24"/>
        </w:rPr>
        <w:t xml:space="preserve"> abroad</w:t>
      </w:r>
      <w:r w:rsidRPr="00816DDD">
        <w:rPr>
          <w:rFonts w:hint="cs"/>
          <w:szCs w:val="24"/>
        </w:rPr>
        <w:t xml:space="preserve">, </w:t>
      </w:r>
      <w:r w:rsidR="005145ED" w:rsidRPr="00816DDD">
        <w:rPr>
          <w:szCs w:val="24"/>
        </w:rPr>
        <w:t xml:space="preserve">speculate in currency movements, </w:t>
      </w:r>
      <w:r w:rsidRPr="00816DDD">
        <w:rPr>
          <w:rFonts w:hint="cs"/>
          <w:szCs w:val="24"/>
        </w:rPr>
        <w:t xml:space="preserve">guard against political risks at home, or “launder” the proceeds of criminal activities.  </w:t>
      </w:r>
    </w:p>
    <w:p w14:paraId="5C711160" w14:textId="77777777" w:rsidR="005145ED" w:rsidRPr="00816DDD" w:rsidRDefault="005145ED" w:rsidP="005145ED">
      <w:pPr>
        <w:widowControl w:val="0"/>
        <w:spacing w:after="0" w:line="240" w:lineRule="auto"/>
        <w:ind w:left="720"/>
        <w:rPr>
          <w:szCs w:val="24"/>
        </w:rPr>
      </w:pPr>
    </w:p>
    <w:p w14:paraId="51501D3E" w14:textId="7A1B2E49" w:rsidR="00F23FE2" w:rsidRPr="00816DDD" w:rsidRDefault="005145ED" w:rsidP="00AE1C67">
      <w:pPr>
        <w:widowControl w:val="0"/>
        <w:spacing w:after="0" w:line="240" w:lineRule="auto"/>
        <w:ind w:left="720"/>
        <w:rPr>
          <w:szCs w:val="24"/>
        </w:rPr>
      </w:pPr>
      <w:r w:rsidRPr="00816DDD">
        <w:rPr>
          <w:szCs w:val="24"/>
        </w:rPr>
        <w:t>These smaller commercial and retail clients want to deal with their regular</w:t>
      </w:r>
      <w:r w:rsidR="009A4E93" w:rsidRPr="00816DDD">
        <w:rPr>
          <w:rFonts w:hint="cs"/>
          <w:szCs w:val="24"/>
        </w:rPr>
        <w:t xml:space="preserve"> commercial </w:t>
      </w:r>
      <w:r w:rsidRPr="00816DDD">
        <w:rPr>
          <w:szCs w:val="24"/>
        </w:rPr>
        <w:t xml:space="preserve">or </w:t>
      </w:r>
      <w:r w:rsidR="009A4E93" w:rsidRPr="00816DDD">
        <w:rPr>
          <w:rFonts w:hint="cs"/>
          <w:szCs w:val="24"/>
        </w:rPr>
        <w:t>investment bank</w:t>
      </w:r>
      <w:r w:rsidR="00AE1C67" w:rsidRPr="00816DDD">
        <w:rPr>
          <w:szCs w:val="24"/>
        </w:rPr>
        <w:t>s</w:t>
      </w:r>
      <w:r w:rsidRPr="00816DDD">
        <w:rPr>
          <w:szCs w:val="24"/>
        </w:rPr>
        <w:t>, but</w:t>
      </w:r>
      <w:r w:rsidR="000A6B0B" w:rsidRPr="00816DDD">
        <w:rPr>
          <w:szCs w:val="24"/>
        </w:rPr>
        <w:t xml:space="preserve"> </w:t>
      </w:r>
      <w:r w:rsidR="00AE1C67" w:rsidRPr="00816DDD">
        <w:rPr>
          <w:szCs w:val="24"/>
        </w:rPr>
        <w:t xml:space="preserve">these institutions </w:t>
      </w:r>
      <w:r w:rsidR="009A4E93" w:rsidRPr="00816DDD">
        <w:rPr>
          <w:rFonts w:hint="cs"/>
          <w:szCs w:val="24"/>
        </w:rPr>
        <w:t>are</w:t>
      </w:r>
      <w:r w:rsidR="000A6B0B" w:rsidRPr="00816DDD">
        <w:rPr>
          <w:szCs w:val="24"/>
        </w:rPr>
        <w:t xml:space="preserve"> often</w:t>
      </w:r>
      <w:r w:rsidR="009A4E93" w:rsidRPr="00816DDD">
        <w:rPr>
          <w:rFonts w:hint="cs"/>
          <w:szCs w:val="24"/>
        </w:rPr>
        <w:t xml:space="preserve"> too small to operate as reporting dealers</w:t>
      </w:r>
      <w:r w:rsidRPr="00816DDD">
        <w:rPr>
          <w:szCs w:val="24"/>
        </w:rPr>
        <w:t xml:space="preserve">.  </w:t>
      </w:r>
      <w:r w:rsidR="00F23FE2" w:rsidRPr="00816DDD">
        <w:rPr>
          <w:rFonts w:hint="cs"/>
          <w:szCs w:val="24"/>
        </w:rPr>
        <w:t xml:space="preserve">Reporting dealers support these banks and </w:t>
      </w:r>
      <w:r w:rsidR="00462E30" w:rsidRPr="00816DDD">
        <w:rPr>
          <w:szCs w:val="24"/>
        </w:rPr>
        <w:t xml:space="preserve">other currency </w:t>
      </w:r>
      <w:r w:rsidR="00F23FE2" w:rsidRPr="00816DDD">
        <w:rPr>
          <w:rFonts w:hint="cs"/>
          <w:szCs w:val="24"/>
        </w:rPr>
        <w:t>brokers by “making a market” in different currency pairs</w:t>
      </w:r>
      <w:r w:rsidR="00AA0B27">
        <w:rPr>
          <w:szCs w:val="24"/>
        </w:rPr>
        <w:t>,</w:t>
      </w:r>
      <w:r w:rsidR="00F23FE2" w:rsidRPr="00816DDD">
        <w:rPr>
          <w:rFonts w:hint="cs"/>
          <w:szCs w:val="24"/>
        </w:rPr>
        <w:t xml:space="preserve"> offering bid-ask prices on an ongoing basis.  The reporting dealer trades the currencies and earns the bid-ask spread on the transaction</w:t>
      </w:r>
      <w:r w:rsidR="00AA0B27">
        <w:rPr>
          <w:szCs w:val="24"/>
        </w:rPr>
        <w:t>,</w:t>
      </w:r>
      <w:r w:rsidR="00F23FE2" w:rsidRPr="00816DDD">
        <w:rPr>
          <w:rFonts w:hint="cs"/>
          <w:szCs w:val="24"/>
        </w:rPr>
        <w:t xml:space="preserve"> while the bank charges a </w:t>
      </w:r>
      <w:r w:rsidR="00085AF8" w:rsidRPr="00816DDD">
        <w:rPr>
          <w:szCs w:val="24"/>
        </w:rPr>
        <w:t xml:space="preserve">fixed </w:t>
      </w:r>
      <w:r w:rsidR="00F23FE2" w:rsidRPr="00816DDD">
        <w:rPr>
          <w:rFonts w:hint="cs"/>
          <w:szCs w:val="24"/>
        </w:rPr>
        <w:t>commission</w:t>
      </w:r>
      <w:r w:rsidR="00085AF8" w:rsidRPr="00816DDD">
        <w:rPr>
          <w:szCs w:val="24"/>
        </w:rPr>
        <w:t xml:space="preserve"> per </w:t>
      </w:r>
      <w:r w:rsidR="00716CD9" w:rsidRPr="00816DDD">
        <w:rPr>
          <w:szCs w:val="24"/>
        </w:rPr>
        <w:t>trade,</w:t>
      </w:r>
      <w:r w:rsidR="0060744E" w:rsidRPr="00816DDD">
        <w:rPr>
          <w:szCs w:val="24"/>
        </w:rPr>
        <w:t xml:space="preserve"> </w:t>
      </w:r>
      <w:r w:rsidR="00085AF8" w:rsidRPr="00816DDD">
        <w:rPr>
          <w:szCs w:val="24"/>
        </w:rPr>
        <w:t>or a variable commission</w:t>
      </w:r>
      <w:r w:rsidR="00F23FE2" w:rsidRPr="00816DDD">
        <w:rPr>
          <w:rFonts w:hint="cs"/>
          <w:szCs w:val="24"/>
        </w:rPr>
        <w:t xml:space="preserve"> based on the trade</w:t>
      </w:r>
      <w:r w:rsidR="000A6B0B" w:rsidRPr="00816DDD">
        <w:rPr>
          <w:szCs w:val="24"/>
        </w:rPr>
        <w:t>’s value</w:t>
      </w:r>
      <w:r w:rsidR="00F23FE2" w:rsidRPr="00816DDD">
        <w:rPr>
          <w:rFonts w:hint="cs"/>
          <w:szCs w:val="24"/>
        </w:rPr>
        <w:t>.</w:t>
      </w:r>
    </w:p>
    <w:p w14:paraId="35C9CB88" w14:textId="77777777" w:rsidR="00AE1C67" w:rsidRPr="00816DDD" w:rsidRDefault="00AE1C67" w:rsidP="00AE1C67">
      <w:pPr>
        <w:widowControl w:val="0"/>
        <w:spacing w:after="0" w:line="240" w:lineRule="auto"/>
        <w:rPr>
          <w:b/>
          <w:szCs w:val="24"/>
        </w:rPr>
      </w:pPr>
    </w:p>
    <w:p w14:paraId="5B15A2BC" w14:textId="750ED2C9" w:rsidR="00F23FE2" w:rsidRPr="00816DDD" w:rsidRDefault="00F23FE2" w:rsidP="0051511B">
      <w:pPr>
        <w:widowControl w:val="0"/>
        <w:spacing w:after="0" w:line="240" w:lineRule="auto"/>
        <w:ind w:left="720" w:right="-306"/>
        <w:rPr>
          <w:szCs w:val="24"/>
        </w:rPr>
      </w:pPr>
      <w:r w:rsidRPr="00816DDD">
        <w:rPr>
          <w:rFonts w:hint="cs"/>
          <w:b/>
          <w:szCs w:val="24"/>
        </w:rPr>
        <w:t>Institutional investors.</w:t>
      </w:r>
      <w:r w:rsidRPr="00816DDD">
        <w:rPr>
          <w:rFonts w:hint="cs"/>
          <w:szCs w:val="24"/>
        </w:rPr>
        <w:t xml:space="preserve">  These “real money</w:t>
      </w:r>
      <w:r w:rsidR="0089574B" w:rsidRPr="00816DDD">
        <w:rPr>
          <w:szCs w:val="24"/>
        </w:rPr>
        <w:t>”</w:t>
      </w:r>
      <w:r w:rsidRPr="00816DDD">
        <w:rPr>
          <w:rFonts w:hint="cs"/>
          <w:szCs w:val="24"/>
        </w:rPr>
        <w:t xml:space="preserve"> investors include insurance companies, leasing companies, sales financial units, mutual funds, exchange-traded funds, pension plans, and endowments that invest internationally to diversify their portfolios and earn higher returns for their clients. Regulators limit </w:t>
      </w:r>
      <w:r w:rsidR="00AE1C67" w:rsidRPr="00816DDD">
        <w:rPr>
          <w:szCs w:val="24"/>
        </w:rPr>
        <w:t xml:space="preserve">these </w:t>
      </w:r>
      <w:r w:rsidR="00AA0B27">
        <w:rPr>
          <w:szCs w:val="24"/>
        </w:rPr>
        <w:t>firms’</w:t>
      </w:r>
      <w:r w:rsidR="00291A13" w:rsidRPr="00816DDD">
        <w:rPr>
          <w:szCs w:val="24"/>
        </w:rPr>
        <w:t xml:space="preserve"> </w:t>
      </w:r>
      <w:r w:rsidRPr="00816DDD">
        <w:rPr>
          <w:rFonts w:hint="cs"/>
          <w:szCs w:val="24"/>
        </w:rPr>
        <w:t xml:space="preserve">use </w:t>
      </w:r>
      <w:r w:rsidR="00291A13" w:rsidRPr="00816DDD">
        <w:rPr>
          <w:szCs w:val="24"/>
        </w:rPr>
        <w:t xml:space="preserve">of </w:t>
      </w:r>
      <w:r w:rsidR="00AE1C67" w:rsidRPr="00816DDD">
        <w:rPr>
          <w:szCs w:val="24"/>
        </w:rPr>
        <w:t xml:space="preserve">riskier investment strategies involving </w:t>
      </w:r>
      <w:r w:rsidRPr="00816DDD">
        <w:rPr>
          <w:rFonts w:hint="cs"/>
          <w:szCs w:val="24"/>
        </w:rPr>
        <w:lastRenderedPageBreak/>
        <w:t>financial leverage and derivatives to protect the</w:t>
      </w:r>
      <w:r w:rsidR="00AE1C67" w:rsidRPr="00816DDD">
        <w:rPr>
          <w:szCs w:val="24"/>
        </w:rPr>
        <w:t>ir</w:t>
      </w:r>
      <w:r w:rsidRPr="00816DDD">
        <w:rPr>
          <w:rFonts w:hint="cs"/>
          <w:szCs w:val="24"/>
        </w:rPr>
        <w:t xml:space="preserve"> less sophisticated investors.</w:t>
      </w:r>
    </w:p>
    <w:p w14:paraId="6810DAE4" w14:textId="77777777" w:rsidR="00F23FE2" w:rsidRPr="00816DDD" w:rsidRDefault="00F23FE2" w:rsidP="00F23FE2">
      <w:pPr>
        <w:widowControl w:val="0"/>
        <w:spacing w:after="0" w:line="240" w:lineRule="auto"/>
        <w:ind w:left="720"/>
        <w:rPr>
          <w:szCs w:val="24"/>
        </w:rPr>
      </w:pPr>
    </w:p>
    <w:p w14:paraId="69AA3970" w14:textId="3832D1D2" w:rsidR="00F23FE2" w:rsidRPr="00816DDD" w:rsidRDefault="00F23FE2" w:rsidP="00F23FE2">
      <w:pPr>
        <w:widowControl w:val="0"/>
        <w:spacing w:after="0" w:line="240" w:lineRule="auto"/>
        <w:ind w:left="720"/>
        <w:rPr>
          <w:szCs w:val="24"/>
        </w:rPr>
      </w:pPr>
      <w:r w:rsidRPr="00816DDD">
        <w:rPr>
          <w:rFonts w:hint="cs"/>
          <w:b/>
          <w:szCs w:val="24"/>
        </w:rPr>
        <w:t xml:space="preserve">Hedge funds and proprietary trading firms.  </w:t>
      </w:r>
      <w:r w:rsidRPr="00816DDD">
        <w:rPr>
          <w:rFonts w:hint="cs"/>
          <w:szCs w:val="24"/>
        </w:rPr>
        <w:t>Hedge funds follow a broad range of investment strategies</w:t>
      </w:r>
      <w:r w:rsidR="00AA0B27">
        <w:rPr>
          <w:szCs w:val="24"/>
        </w:rPr>
        <w:t>,</w:t>
      </w:r>
      <w:r w:rsidRPr="00816DDD">
        <w:rPr>
          <w:rFonts w:hint="cs"/>
          <w:szCs w:val="24"/>
        </w:rPr>
        <w:t xml:space="preserve"> including ones involving currency trading.  They are not limited in their use of financial leverage or derivatives by regulators because they cater to more sophisticated </w:t>
      </w:r>
      <w:r w:rsidR="003E6E98">
        <w:rPr>
          <w:szCs w:val="24"/>
        </w:rPr>
        <w:t>high-net-worth</w:t>
      </w:r>
      <w:r w:rsidRPr="00816DDD">
        <w:rPr>
          <w:rFonts w:hint="cs"/>
          <w:szCs w:val="24"/>
        </w:rPr>
        <w:t xml:space="preserve"> individuals or institutions that better understand the risks and can more easily absorb any losses.  </w:t>
      </w:r>
      <w:r w:rsidR="00AA0B27">
        <w:rPr>
          <w:szCs w:val="24"/>
        </w:rPr>
        <w:t>Proprietary</w:t>
      </w:r>
      <w:r w:rsidRPr="00816DDD">
        <w:rPr>
          <w:rFonts w:hint="cs"/>
          <w:szCs w:val="24"/>
        </w:rPr>
        <w:t xml:space="preserve"> currency trading firms, proprietary trading desks at banks, and high-frequency traders speculate for their own accounts and have no outside investors</w:t>
      </w:r>
      <w:r w:rsidR="00D93ECD" w:rsidRPr="00816DDD">
        <w:rPr>
          <w:szCs w:val="24"/>
        </w:rPr>
        <w:t xml:space="preserve">, </w:t>
      </w:r>
      <w:r w:rsidRPr="00816DDD">
        <w:rPr>
          <w:rFonts w:hint="cs"/>
          <w:szCs w:val="24"/>
        </w:rPr>
        <w:t xml:space="preserve">so they also require limited regulation.  High-frequency traders use computer-based trading algorithms that involve frequent trades of short duration.  </w:t>
      </w:r>
    </w:p>
    <w:p w14:paraId="426A6B02" w14:textId="77777777" w:rsidR="00F23FE2" w:rsidRPr="00816DDD" w:rsidRDefault="00F23FE2" w:rsidP="00F23FE2">
      <w:pPr>
        <w:widowControl w:val="0"/>
        <w:spacing w:after="0" w:line="240" w:lineRule="auto"/>
        <w:rPr>
          <w:b/>
          <w:szCs w:val="24"/>
        </w:rPr>
      </w:pPr>
    </w:p>
    <w:p w14:paraId="07980618" w14:textId="2ADD6E91" w:rsidR="00F23FE2" w:rsidRPr="00816DDD" w:rsidRDefault="00F23FE2" w:rsidP="00F23FE2">
      <w:pPr>
        <w:widowControl w:val="0"/>
        <w:spacing w:after="0" w:line="240" w:lineRule="auto"/>
        <w:ind w:left="720"/>
        <w:rPr>
          <w:szCs w:val="24"/>
        </w:rPr>
      </w:pPr>
      <w:r w:rsidRPr="00816DDD">
        <w:rPr>
          <w:rFonts w:hint="cs"/>
          <w:b/>
          <w:szCs w:val="24"/>
        </w:rPr>
        <w:t>Central banks.</w:t>
      </w:r>
      <w:r w:rsidRPr="00816DDD">
        <w:rPr>
          <w:rFonts w:hint="cs"/>
          <w:szCs w:val="24"/>
        </w:rPr>
        <w:t xml:space="preserve">  A country may intervene in the forex market to influence the price of its currency if it feels it is either </w:t>
      </w:r>
      <w:r w:rsidR="00AA0B27">
        <w:rPr>
          <w:szCs w:val="24"/>
        </w:rPr>
        <w:t>under-</w:t>
      </w:r>
      <w:r w:rsidRPr="00816DDD">
        <w:rPr>
          <w:rFonts w:hint="cs"/>
          <w:szCs w:val="24"/>
        </w:rPr>
        <w:t xml:space="preserve"> or overvalued.  A weak currency increases exports but may cause </w:t>
      </w:r>
      <w:r w:rsidR="00291A13" w:rsidRPr="00816DDD">
        <w:rPr>
          <w:szCs w:val="24"/>
        </w:rPr>
        <w:t xml:space="preserve">higher </w:t>
      </w:r>
      <w:r w:rsidRPr="00816DDD">
        <w:rPr>
          <w:rFonts w:hint="cs"/>
          <w:szCs w:val="24"/>
        </w:rPr>
        <w:t xml:space="preserve">inflation and a lower standard of living as imports become more expensive.  A strong currency lowers </w:t>
      </w:r>
      <w:r w:rsidR="00716CD9" w:rsidRPr="00816DDD">
        <w:rPr>
          <w:szCs w:val="24"/>
        </w:rPr>
        <w:t>exports,</w:t>
      </w:r>
      <w:r w:rsidRPr="00816DDD">
        <w:rPr>
          <w:rFonts w:hint="cs"/>
          <w:szCs w:val="24"/>
        </w:rPr>
        <w:t xml:space="preserve"> reduc</w:t>
      </w:r>
      <w:r w:rsidR="0089574B" w:rsidRPr="00816DDD">
        <w:rPr>
          <w:szCs w:val="24"/>
        </w:rPr>
        <w:t>ing</w:t>
      </w:r>
      <w:r w:rsidRPr="00816DDD">
        <w:rPr>
          <w:rFonts w:hint="cs"/>
          <w:szCs w:val="24"/>
        </w:rPr>
        <w:t xml:space="preserve"> economic activity and</w:t>
      </w:r>
      <w:r w:rsidR="0089574B" w:rsidRPr="00816DDD">
        <w:rPr>
          <w:szCs w:val="24"/>
        </w:rPr>
        <w:t xml:space="preserve"> </w:t>
      </w:r>
      <w:r w:rsidR="00396776" w:rsidRPr="00816DDD">
        <w:rPr>
          <w:szCs w:val="24"/>
        </w:rPr>
        <w:t>increasing</w:t>
      </w:r>
      <w:r w:rsidR="0089574B" w:rsidRPr="00816DDD">
        <w:rPr>
          <w:szCs w:val="24"/>
        </w:rPr>
        <w:t xml:space="preserve"> </w:t>
      </w:r>
      <w:r w:rsidRPr="00816DDD">
        <w:rPr>
          <w:rFonts w:hint="cs"/>
          <w:szCs w:val="24"/>
        </w:rPr>
        <w:t>unemployment</w:t>
      </w:r>
      <w:r w:rsidR="00AA0B27">
        <w:rPr>
          <w:szCs w:val="24"/>
        </w:rPr>
        <w:t>,</w:t>
      </w:r>
      <w:r w:rsidR="00027C8C" w:rsidRPr="00816DDD">
        <w:rPr>
          <w:szCs w:val="24"/>
        </w:rPr>
        <w:t xml:space="preserve"> but</w:t>
      </w:r>
      <w:r w:rsidR="009271FF" w:rsidRPr="00816DDD">
        <w:rPr>
          <w:szCs w:val="24"/>
        </w:rPr>
        <w:t xml:space="preserve"> </w:t>
      </w:r>
      <w:r w:rsidR="0089574B" w:rsidRPr="00816DDD">
        <w:rPr>
          <w:szCs w:val="24"/>
        </w:rPr>
        <w:t xml:space="preserve">may </w:t>
      </w:r>
      <w:r w:rsidR="009271FF" w:rsidRPr="00816DDD">
        <w:rPr>
          <w:szCs w:val="24"/>
        </w:rPr>
        <w:t xml:space="preserve">increase </w:t>
      </w:r>
      <w:r w:rsidR="00027C8C" w:rsidRPr="00816DDD">
        <w:rPr>
          <w:szCs w:val="24"/>
        </w:rPr>
        <w:t xml:space="preserve">the standard of living as imports become </w:t>
      </w:r>
      <w:r w:rsidR="009271FF" w:rsidRPr="00816DDD">
        <w:rPr>
          <w:szCs w:val="24"/>
        </w:rPr>
        <w:t>more affordable</w:t>
      </w:r>
      <w:r w:rsidRPr="00816DDD">
        <w:rPr>
          <w:rFonts w:hint="cs"/>
          <w:szCs w:val="24"/>
        </w:rPr>
        <w:t>.  An unstable currency make</w:t>
      </w:r>
      <w:r w:rsidR="009271FF" w:rsidRPr="00816DDD">
        <w:rPr>
          <w:szCs w:val="24"/>
        </w:rPr>
        <w:t>s</w:t>
      </w:r>
      <w:r w:rsidRPr="00816DDD">
        <w:rPr>
          <w:rFonts w:hint="cs"/>
          <w:szCs w:val="24"/>
        </w:rPr>
        <w:t xml:space="preserve"> it more difficult for domestic companies to operate internationally</w:t>
      </w:r>
      <w:r w:rsidR="00AA0B27">
        <w:rPr>
          <w:szCs w:val="24"/>
        </w:rPr>
        <w:t>,</w:t>
      </w:r>
      <w:r w:rsidRPr="00816DDD">
        <w:rPr>
          <w:rFonts w:hint="cs"/>
          <w:szCs w:val="24"/>
        </w:rPr>
        <w:t xml:space="preserve"> causing greater business uncertainty and reduced economic activity.  The foreign exchange reserves of the central banks of many developing and energy-rich countries have become quite large due to current account surpluses with most develop</w:t>
      </w:r>
      <w:r w:rsidR="00291A13" w:rsidRPr="00816DDD">
        <w:rPr>
          <w:szCs w:val="24"/>
        </w:rPr>
        <w:t>ed</w:t>
      </w:r>
      <w:r w:rsidRPr="00816DDD">
        <w:rPr>
          <w:rFonts w:hint="cs"/>
          <w:szCs w:val="24"/>
        </w:rPr>
        <w:t xml:space="preserve"> countries.  These reserves are held primarily in </w:t>
      </w:r>
      <w:r w:rsidR="00487DB6" w:rsidRPr="00816DDD">
        <w:rPr>
          <w:szCs w:val="24"/>
        </w:rPr>
        <w:t>the USD</w:t>
      </w:r>
      <w:r w:rsidRPr="00816DDD">
        <w:rPr>
          <w:rFonts w:hint="cs"/>
          <w:szCs w:val="24"/>
        </w:rPr>
        <w:t xml:space="preserve"> and EUR, the forex market’s two most important currencies, so any attempt to reduce the</w:t>
      </w:r>
      <w:r w:rsidR="009271FF" w:rsidRPr="00816DDD">
        <w:rPr>
          <w:szCs w:val="24"/>
        </w:rPr>
        <w:t xml:space="preserve"> size of these </w:t>
      </w:r>
      <w:r w:rsidRPr="00816DDD">
        <w:rPr>
          <w:rFonts w:hint="cs"/>
          <w:szCs w:val="24"/>
        </w:rPr>
        <w:t xml:space="preserve">reserves will have a </w:t>
      </w:r>
      <w:r w:rsidR="00BD1842">
        <w:rPr>
          <w:szCs w:val="24"/>
        </w:rPr>
        <w:t>significant</w:t>
      </w:r>
      <w:r w:rsidRPr="00816DDD">
        <w:rPr>
          <w:rFonts w:hint="cs"/>
          <w:szCs w:val="24"/>
        </w:rPr>
        <w:t xml:space="preserve"> impact</w:t>
      </w:r>
      <w:r w:rsidR="0089574B" w:rsidRPr="00816DDD">
        <w:rPr>
          <w:szCs w:val="24"/>
        </w:rPr>
        <w:t xml:space="preserve"> on exchange rates.</w:t>
      </w:r>
    </w:p>
    <w:p w14:paraId="6E2E7C71" w14:textId="77777777" w:rsidR="00F23FE2" w:rsidRPr="00816DDD" w:rsidRDefault="00F23FE2" w:rsidP="00F23FE2">
      <w:pPr>
        <w:widowControl w:val="0"/>
        <w:spacing w:after="0" w:line="240" w:lineRule="auto"/>
        <w:ind w:left="720"/>
        <w:rPr>
          <w:szCs w:val="24"/>
        </w:rPr>
      </w:pPr>
    </w:p>
    <w:p w14:paraId="0868DDF6" w14:textId="5BD01EB9" w:rsidR="00F23FE2" w:rsidRPr="00816DDD" w:rsidRDefault="00F23FE2" w:rsidP="00F23FE2">
      <w:pPr>
        <w:widowControl w:val="0"/>
        <w:spacing w:after="0" w:line="240" w:lineRule="auto"/>
        <w:ind w:left="720"/>
        <w:rPr>
          <w:szCs w:val="24"/>
        </w:rPr>
      </w:pPr>
      <w:r w:rsidRPr="00816DDD">
        <w:rPr>
          <w:rFonts w:hint="cs"/>
          <w:b/>
          <w:szCs w:val="24"/>
        </w:rPr>
        <w:t>Sovereign wealth funds</w:t>
      </w:r>
      <w:r w:rsidRPr="00816DDD">
        <w:rPr>
          <w:rFonts w:hint="cs"/>
          <w:szCs w:val="24"/>
        </w:rPr>
        <w:t xml:space="preserve">.  Several energy-rich countries have diverted their current account surpluses into investment funds to increase </w:t>
      </w:r>
      <w:r w:rsidR="00027C8C" w:rsidRPr="00816DDD">
        <w:rPr>
          <w:szCs w:val="24"/>
        </w:rPr>
        <w:t xml:space="preserve">their </w:t>
      </w:r>
      <w:r w:rsidRPr="00816DDD">
        <w:rPr>
          <w:rFonts w:hint="cs"/>
          <w:szCs w:val="24"/>
        </w:rPr>
        <w:t xml:space="preserve">returns instead of holding foreign exchange reserves.  These funds are professionally managed and are operated much like “real money” </w:t>
      </w:r>
      <w:r w:rsidR="0089574B" w:rsidRPr="00816DDD">
        <w:rPr>
          <w:szCs w:val="24"/>
        </w:rPr>
        <w:t>investors</w:t>
      </w:r>
      <w:r w:rsidRPr="00816DDD">
        <w:rPr>
          <w:rFonts w:hint="cs"/>
          <w:szCs w:val="24"/>
        </w:rPr>
        <w:t>, although their government sponsors have greater influence over their investment and spending decisions.</w:t>
      </w:r>
    </w:p>
    <w:p w14:paraId="3A17D0DA" w14:textId="77777777" w:rsidR="00F23FE2" w:rsidRPr="00816DDD" w:rsidRDefault="00F23FE2" w:rsidP="00F23FE2">
      <w:pPr>
        <w:widowControl w:val="0"/>
        <w:spacing w:after="0" w:line="240" w:lineRule="auto"/>
        <w:ind w:left="720"/>
        <w:rPr>
          <w:szCs w:val="24"/>
        </w:rPr>
      </w:pPr>
    </w:p>
    <w:p w14:paraId="3EB414A9" w14:textId="77777777" w:rsidR="00F23FE2" w:rsidRPr="00816DDD" w:rsidRDefault="00F23FE2" w:rsidP="00F23FE2">
      <w:pPr>
        <w:widowControl w:val="0"/>
        <w:spacing w:after="0" w:line="240" w:lineRule="auto"/>
        <w:ind w:left="720"/>
        <w:rPr>
          <w:b/>
          <w:szCs w:val="24"/>
        </w:rPr>
      </w:pPr>
      <w:r w:rsidRPr="00816DDD">
        <w:rPr>
          <w:rFonts w:hint="cs"/>
          <w:b/>
          <w:szCs w:val="24"/>
        </w:rPr>
        <w:t xml:space="preserve">Public sector financial institutions.  </w:t>
      </w:r>
      <w:r w:rsidRPr="00816DDD">
        <w:rPr>
          <w:rFonts w:hint="cs"/>
          <w:szCs w:val="24"/>
        </w:rPr>
        <w:t>International organizations such as the International Monetary Fund, World Bank, European Investment Bank, or Asian Development Bank, and domestic organizations like the Business Development Bank of Canada or the Export Development Corporation regularly buy and sell foreign currency to support development projects abroad.</w:t>
      </w:r>
    </w:p>
    <w:p w14:paraId="026445C6" w14:textId="77777777" w:rsidR="00F23FE2" w:rsidRPr="00816DDD" w:rsidRDefault="00F23FE2" w:rsidP="00B859CC">
      <w:pPr>
        <w:widowControl w:val="0"/>
        <w:spacing w:after="0" w:line="240" w:lineRule="auto"/>
        <w:rPr>
          <w:szCs w:val="24"/>
        </w:rPr>
      </w:pPr>
    </w:p>
    <w:p w14:paraId="525F7CC9" w14:textId="0A286231" w:rsidR="00B859CC" w:rsidRPr="00816DDD" w:rsidRDefault="00B859CC" w:rsidP="00B859CC">
      <w:pPr>
        <w:widowControl w:val="0"/>
        <w:spacing w:after="0" w:line="240" w:lineRule="auto"/>
        <w:ind w:left="540" w:hanging="540"/>
        <w:rPr>
          <w:b/>
          <w:szCs w:val="24"/>
        </w:rPr>
      </w:pPr>
      <w:r w:rsidRPr="00816DDD">
        <w:rPr>
          <w:rFonts w:hint="cs"/>
          <w:b/>
          <w:szCs w:val="24"/>
        </w:rPr>
        <w:t>Exchange Rate</w:t>
      </w:r>
      <w:r w:rsidR="00F23FE2" w:rsidRPr="00816DDD">
        <w:rPr>
          <w:b/>
          <w:szCs w:val="24"/>
        </w:rPr>
        <w:t>s</w:t>
      </w:r>
    </w:p>
    <w:p w14:paraId="0B3AD0CB" w14:textId="77777777" w:rsidR="00B859CC" w:rsidRPr="00816DDD" w:rsidRDefault="00B859CC" w:rsidP="00B859CC">
      <w:pPr>
        <w:widowControl w:val="0"/>
        <w:spacing w:after="0" w:line="240" w:lineRule="auto"/>
        <w:rPr>
          <w:szCs w:val="24"/>
        </w:rPr>
      </w:pPr>
    </w:p>
    <w:p w14:paraId="6A68BCC8" w14:textId="2FE5DA42" w:rsidR="00B859CC" w:rsidRPr="00816DDD" w:rsidRDefault="00B859CC" w:rsidP="00B859CC">
      <w:pPr>
        <w:widowControl w:val="0"/>
        <w:spacing w:after="0" w:line="240" w:lineRule="auto"/>
        <w:rPr>
          <w:szCs w:val="24"/>
        </w:rPr>
      </w:pPr>
      <w:r w:rsidRPr="00816DDD">
        <w:rPr>
          <w:rFonts w:hint="cs"/>
          <w:szCs w:val="24"/>
        </w:rPr>
        <w:t xml:space="preserve">An exchange rate is the price of one country’s currency relative to another country’s currency when it </w:t>
      </w:r>
      <w:r w:rsidR="0016434F" w:rsidRPr="00816DDD">
        <w:rPr>
          <w:szCs w:val="24"/>
        </w:rPr>
        <w:t xml:space="preserve">is </w:t>
      </w:r>
      <w:r w:rsidRPr="00816DDD">
        <w:rPr>
          <w:rFonts w:hint="cs"/>
          <w:szCs w:val="24"/>
        </w:rPr>
        <w:t xml:space="preserve">traded </w:t>
      </w:r>
      <w:r w:rsidR="00716CD9" w:rsidRPr="00816DDD">
        <w:rPr>
          <w:szCs w:val="24"/>
        </w:rPr>
        <w:t>on</w:t>
      </w:r>
      <w:r w:rsidRPr="00816DDD">
        <w:rPr>
          <w:rFonts w:hint="cs"/>
          <w:szCs w:val="24"/>
        </w:rPr>
        <w:t xml:space="preserve"> the foreign exchange market.  For example:</w:t>
      </w:r>
    </w:p>
    <w:p w14:paraId="4F1F37F8" w14:textId="77777777" w:rsidR="00B859CC" w:rsidRPr="00816DDD" w:rsidRDefault="00B859CC" w:rsidP="00B859CC">
      <w:pPr>
        <w:widowControl w:val="0"/>
        <w:spacing w:after="0" w:line="240" w:lineRule="auto"/>
        <w:rPr>
          <w:szCs w:val="24"/>
        </w:rPr>
      </w:pPr>
    </w:p>
    <w:p w14:paraId="7BB313D6" w14:textId="77777777" w:rsidR="00B859CC" w:rsidRPr="00816DDD" w:rsidRDefault="00B859CC" w:rsidP="00B859CC">
      <w:pPr>
        <w:widowControl w:val="0"/>
        <w:spacing w:after="0" w:line="240" w:lineRule="auto"/>
        <w:jc w:val="center"/>
        <w:rPr>
          <w:szCs w:val="24"/>
        </w:rPr>
      </w:pPr>
      <w:r w:rsidRPr="00816DDD">
        <w:rPr>
          <w:rFonts w:hint="cs"/>
          <w:szCs w:val="24"/>
        </w:rPr>
        <w:t>CAD/USD 1.2486</w:t>
      </w:r>
    </w:p>
    <w:p w14:paraId="200CE46B" w14:textId="77777777" w:rsidR="00B859CC" w:rsidRPr="00816DDD" w:rsidRDefault="00B859CC" w:rsidP="00B859CC">
      <w:pPr>
        <w:widowControl w:val="0"/>
        <w:spacing w:after="0" w:line="240" w:lineRule="auto"/>
        <w:rPr>
          <w:szCs w:val="24"/>
        </w:rPr>
      </w:pPr>
    </w:p>
    <w:p w14:paraId="4FE0CF37" w14:textId="5F317ECC" w:rsidR="009A7EBD" w:rsidRDefault="00B859CC" w:rsidP="00B81FE3">
      <w:pPr>
        <w:widowControl w:val="0"/>
        <w:spacing w:after="0" w:line="240" w:lineRule="auto"/>
        <w:rPr>
          <w:szCs w:val="24"/>
        </w:rPr>
      </w:pPr>
      <w:r w:rsidRPr="00816DDD">
        <w:rPr>
          <w:rFonts w:hint="cs"/>
          <w:szCs w:val="24"/>
        </w:rPr>
        <w:t>This exchange rate quotation means 1 USD buys 1.2486 CAD.  The numerator is called the quote (or price) currency</w:t>
      </w:r>
      <w:r w:rsidR="00AA0B27">
        <w:rPr>
          <w:szCs w:val="24"/>
        </w:rPr>
        <w:t>,</w:t>
      </w:r>
      <w:r w:rsidRPr="00816DDD">
        <w:rPr>
          <w:rFonts w:hint="cs"/>
          <w:szCs w:val="24"/>
        </w:rPr>
        <w:t xml:space="preserve"> and the denominator is the base currency</w:t>
      </w:r>
      <w:r w:rsidR="00AA0B27">
        <w:rPr>
          <w:szCs w:val="24"/>
        </w:rPr>
        <w:t>,</w:t>
      </w:r>
      <w:r w:rsidRPr="00816DDD">
        <w:rPr>
          <w:rFonts w:hint="cs"/>
          <w:szCs w:val="24"/>
        </w:rPr>
        <w:t xml:space="preserve"> which is always one currency unit.  Each of the world’s approximately 180 currencies </w:t>
      </w:r>
      <w:r w:rsidR="00AA0B27">
        <w:rPr>
          <w:szCs w:val="24"/>
        </w:rPr>
        <w:t>has</w:t>
      </w:r>
      <w:r w:rsidRPr="00816DDD">
        <w:rPr>
          <w:rFonts w:hint="cs"/>
          <w:szCs w:val="24"/>
        </w:rPr>
        <w:t xml:space="preserve"> a three-letter currency code </w:t>
      </w:r>
      <w:r w:rsidR="00F83AD1" w:rsidRPr="00816DDD">
        <w:rPr>
          <w:szCs w:val="24"/>
        </w:rPr>
        <w:t>(ex.</w:t>
      </w:r>
      <w:r w:rsidR="00AA0B27">
        <w:rPr>
          <w:szCs w:val="24"/>
        </w:rPr>
        <w:t>,</w:t>
      </w:r>
      <w:r w:rsidR="00F83AD1" w:rsidRPr="00816DDD">
        <w:rPr>
          <w:szCs w:val="24"/>
        </w:rPr>
        <w:t xml:space="preserve"> </w:t>
      </w:r>
      <w:r w:rsidRPr="00816DDD">
        <w:rPr>
          <w:rFonts w:hint="cs"/>
          <w:szCs w:val="24"/>
        </w:rPr>
        <w:t>CAD for the Canadian Dollar</w:t>
      </w:r>
      <w:r w:rsidR="00F83AD1" w:rsidRPr="00816DDD">
        <w:rPr>
          <w:szCs w:val="24"/>
        </w:rPr>
        <w:t xml:space="preserve">) </w:t>
      </w:r>
      <w:r w:rsidRPr="00816DDD">
        <w:rPr>
          <w:rFonts w:hint="cs"/>
          <w:szCs w:val="24"/>
        </w:rPr>
        <w:t xml:space="preserve">assigned by the International Standards Organization (ISO).  The first two </w:t>
      </w:r>
      <w:r w:rsidRPr="00816DDD">
        <w:rPr>
          <w:rFonts w:hint="cs"/>
          <w:szCs w:val="24"/>
        </w:rPr>
        <w:lastRenderedPageBreak/>
        <w:t>letters are the country name</w:t>
      </w:r>
      <w:r w:rsidR="00F83AD1" w:rsidRPr="00816DDD">
        <w:rPr>
          <w:szCs w:val="24"/>
        </w:rPr>
        <w:t xml:space="preserve"> (ex.</w:t>
      </w:r>
      <w:r w:rsidR="00AA0B27">
        <w:rPr>
          <w:szCs w:val="24"/>
        </w:rPr>
        <w:t>,</w:t>
      </w:r>
      <w:r w:rsidR="00F83AD1" w:rsidRPr="00816DDD">
        <w:rPr>
          <w:szCs w:val="24"/>
        </w:rPr>
        <w:t xml:space="preserve"> </w:t>
      </w:r>
      <w:r w:rsidRPr="00816DDD">
        <w:rPr>
          <w:rFonts w:hint="cs"/>
          <w:szCs w:val="24"/>
        </w:rPr>
        <w:t>CA for Canada) and the last letter is the name of the currency (ex.</w:t>
      </w:r>
      <w:r w:rsidR="00AA0B27">
        <w:rPr>
          <w:szCs w:val="24"/>
        </w:rPr>
        <w:t>,</w:t>
      </w:r>
      <w:r w:rsidRPr="00816DDD">
        <w:rPr>
          <w:rFonts w:hint="cs"/>
          <w:szCs w:val="24"/>
        </w:rPr>
        <w:t xml:space="preserve"> D for dollar).  Currencies are assigned numerical codes to make computer processing more efficient.  Exhibit </w:t>
      </w:r>
      <w:r w:rsidR="00856D71" w:rsidRPr="00816DDD">
        <w:rPr>
          <w:szCs w:val="24"/>
        </w:rPr>
        <w:t>1</w:t>
      </w:r>
      <w:r w:rsidRPr="00816DDD">
        <w:rPr>
          <w:rFonts w:hint="cs"/>
          <w:szCs w:val="24"/>
        </w:rPr>
        <w:t xml:space="preserve"> provides a listing of some of the most common currencies and their codes. </w:t>
      </w:r>
    </w:p>
    <w:p w14:paraId="2975B11D" w14:textId="77777777" w:rsidR="00B81FE3" w:rsidRPr="00B81FE3" w:rsidRDefault="00B81FE3" w:rsidP="00B81FE3">
      <w:pPr>
        <w:widowControl w:val="0"/>
        <w:spacing w:after="0" w:line="240" w:lineRule="auto"/>
        <w:rPr>
          <w:szCs w:val="24"/>
        </w:rPr>
      </w:pPr>
    </w:p>
    <w:p w14:paraId="06F9BAAA" w14:textId="02DF698C" w:rsidR="00B859CC" w:rsidRPr="00816DDD" w:rsidRDefault="00B859CC" w:rsidP="00B859CC">
      <w:pPr>
        <w:widowControl w:val="0"/>
        <w:spacing w:after="0" w:line="240" w:lineRule="auto"/>
        <w:jc w:val="center"/>
        <w:rPr>
          <w:b/>
          <w:sz w:val="20"/>
          <w:szCs w:val="20"/>
        </w:rPr>
      </w:pPr>
      <w:r w:rsidRPr="00816DDD">
        <w:rPr>
          <w:rFonts w:hint="cs"/>
          <w:b/>
          <w:sz w:val="20"/>
          <w:szCs w:val="20"/>
        </w:rPr>
        <w:t xml:space="preserve">Exhibit </w:t>
      </w:r>
      <w:r w:rsidR="00024B00" w:rsidRPr="00816DDD">
        <w:rPr>
          <w:b/>
          <w:sz w:val="20"/>
          <w:szCs w:val="20"/>
        </w:rPr>
        <w:t>4</w:t>
      </w:r>
      <w:r w:rsidRPr="00816DDD">
        <w:rPr>
          <w:rFonts w:hint="cs"/>
          <w:b/>
          <w:sz w:val="20"/>
          <w:szCs w:val="20"/>
        </w:rPr>
        <w:t>:  Currency Codes</w:t>
      </w:r>
    </w:p>
    <w:p w14:paraId="357AB75F" w14:textId="77777777" w:rsidR="00B859CC" w:rsidRPr="00816DDD" w:rsidRDefault="00B859CC" w:rsidP="00B859CC">
      <w:pPr>
        <w:widowControl w:val="0"/>
        <w:spacing w:after="0" w:line="240" w:lineRule="auto"/>
        <w:rPr>
          <w:sz w:val="20"/>
          <w:szCs w:val="20"/>
        </w:rPr>
      </w:pPr>
    </w:p>
    <w:tbl>
      <w:tblPr>
        <w:tblStyle w:val="TableGrid"/>
        <w:tblW w:w="0" w:type="auto"/>
        <w:tblInd w:w="1705" w:type="dxa"/>
        <w:tblLook w:val="04A0" w:firstRow="1" w:lastRow="0" w:firstColumn="1" w:lastColumn="0" w:noHBand="0" w:noVBand="1"/>
      </w:tblPr>
      <w:tblGrid>
        <w:gridCol w:w="1440"/>
        <w:gridCol w:w="2160"/>
        <w:gridCol w:w="1440"/>
        <w:gridCol w:w="1980"/>
      </w:tblGrid>
      <w:tr w:rsidR="00816DDD" w:rsidRPr="00816DDD" w14:paraId="2A172BA9" w14:textId="77777777" w:rsidTr="00567210">
        <w:trPr>
          <w:trHeight w:val="575"/>
        </w:trPr>
        <w:tc>
          <w:tcPr>
            <w:tcW w:w="1440" w:type="dxa"/>
            <w:vAlign w:val="center"/>
          </w:tcPr>
          <w:p w14:paraId="3FD9770B" w14:textId="77777777" w:rsidR="00B859CC" w:rsidRPr="00816DDD" w:rsidRDefault="00B859CC" w:rsidP="00B859CC">
            <w:pPr>
              <w:widowControl w:val="0"/>
              <w:ind w:left="-15" w:firstLine="15"/>
              <w:contextualSpacing/>
              <w:jc w:val="center"/>
              <w:rPr>
                <w:b/>
                <w:sz w:val="20"/>
                <w:szCs w:val="20"/>
              </w:rPr>
            </w:pPr>
            <w:r w:rsidRPr="00816DDD">
              <w:rPr>
                <w:rFonts w:hint="cs"/>
                <w:b/>
                <w:sz w:val="20"/>
                <w:szCs w:val="20"/>
              </w:rPr>
              <w:t>Currency Code</w:t>
            </w:r>
          </w:p>
        </w:tc>
        <w:tc>
          <w:tcPr>
            <w:tcW w:w="2160" w:type="dxa"/>
            <w:vAlign w:val="center"/>
          </w:tcPr>
          <w:p w14:paraId="14B8ACC0" w14:textId="77777777" w:rsidR="00B859CC" w:rsidRPr="00816DDD" w:rsidRDefault="00B859CC" w:rsidP="00B859CC">
            <w:pPr>
              <w:widowControl w:val="0"/>
              <w:ind w:hanging="14"/>
              <w:contextualSpacing/>
              <w:jc w:val="center"/>
              <w:rPr>
                <w:b/>
                <w:sz w:val="20"/>
                <w:szCs w:val="20"/>
              </w:rPr>
            </w:pPr>
            <w:r w:rsidRPr="00816DDD">
              <w:rPr>
                <w:rFonts w:hint="cs"/>
                <w:b/>
                <w:sz w:val="20"/>
                <w:szCs w:val="20"/>
              </w:rPr>
              <w:t>Currency</w:t>
            </w:r>
          </w:p>
        </w:tc>
        <w:tc>
          <w:tcPr>
            <w:tcW w:w="1440" w:type="dxa"/>
            <w:vAlign w:val="center"/>
          </w:tcPr>
          <w:p w14:paraId="0BC80DBB" w14:textId="77777777" w:rsidR="00B859CC" w:rsidRPr="00816DDD" w:rsidRDefault="00B859CC" w:rsidP="00B859CC">
            <w:pPr>
              <w:widowControl w:val="0"/>
              <w:contextualSpacing/>
              <w:jc w:val="center"/>
              <w:rPr>
                <w:b/>
                <w:sz w:val="20"/>
                <w:szCs w:val="20"/>
              </w:rPr>
            </w:pPr>
            <w:r w:rsidRPr="00816DDD">
              <w:rPr>
                <w:rFonts w:hint="cs"/>
                <w:b/>
                <w:sz w:val="20"/>
                <w:szCs w:val="20"/>
              </w:rPr>
              <w:t>Currency Code</w:t>
            </w:r>
          </w:p>
        </w:tc>
        <w:tc>
          <w:tcPr>
            <w:tcW w:w="1980" w:type="dxa"/>
            <w:vAlign w:val="center"/>
          </w:tcPr>
          <w:p w14:paraId="14C37975" w14:textId="77777777" w:rsidR="00B859CC" w:rsidRPr="00816DDD" w:rsidRDefault="00B859CC" w:rsidP="00B859CC">
            <w:pPr>
              <w:widowControl w:val="0"/>
              <w:ind w:left="-14"/>
              <w:contextualSpacing/>
              <w:jc w:val="center"/>
              <w:rPr>
                <w:b/>
                <w:sz w:val="20"/>
                <w:szCs w:val="20"/>
              </w:rPr>
            </w:pPr>
            <w:r w:rsidRPr="00816DDD">
              <w:rPr>
                <w:rFonts w:hint="cs"/>
                <w:b/>
                <w:sz w:val="20"/>
                <w:szCs w:val="20"/>
              </w:rPr>
              <w:t>Currency</w:t>
            </w:r>
          </w:p>
        </w:tc>
      </w:tr>
      <w:tr w:rsidR="00816DDD" w:rsidRPr="00816DDD" w14:paraId="4E0A1305" w14:textId="77777777" w:rsidTr="00567210">
        <w:tc>
          <w:tcPr>
            <w:tcW w:w="1440" w:type="dxa"/>
          </w:tcPr>
          <w:p w14:paraId="55F2C809" w14:textId="77777777" w:rsidR="00B859CC" w:rsidRPr="00816DDD" w:rsidRDefault="00B859CC" w:rsidP="00B859CC">
            <w:pPr>
              <w:widowControl w:val="0"/>
              <w:contextualSpacing/>
              <w:jc w:val="center"/>
              <w:rPr>
                <w:sz w:val="20"/>
                <w:szCs w:val="20"/>
              </w:rPr>
            </w:pPr>
            <w:r w:rsidRPr="00816DDD">
              <w:rPr>
                <w:rFonts w:hint="cs"/>
                <w:sz w:val="20"/>
                <w:szCs w:val="20"/>
              </w:rPr>
              <w:t>USD (840)</w:t>
            </w:r>
          </w:p>
        </w:tc>
        <w:tc>
          <w:tcPr>
            <w:tcW w:w="2160" w:type="dxa"/>
          </w:tcPr>
          <w:p w14:paraId="5DF0F2B6" w14:textId="77777777" w:rsidR="00B859CC" w:rsidRPr="00816DDD" w:rsidRDefault="00B859CC" w:rsidP="00B859CC">
            <w:pPr>
              <w:widowControl w:val="0"/>
              <w:ind w:hanging="14"/>
              <w:contextualSpacing/>
              <w:rPr>
                <w:sz w:val="20"/>
                <w:szCs w:val="20"/>
              </w:rPr>
            </w:pPr>
            <w:r w:rsidRPr="00816DDD">
              <w:rPr>
                <w:rFonts w:hint="cs"/>
                <w:sz w:val="20"/>
                <w:szCs w:val="20"/>
              </w:rPr>
              <w:t>U.S. Dollar</w:t>
            </w:r>
          </w:p>
        </w:tc>
        <w:tc>
          <w:tcPr>
            <w:tcW w:w="1440" w:type="dxa"/>
          </w:tcPr>
          <w:p w14:paraId="7F9C0A1A" w14:textId="77777777" w:rsidR="00B859CC" w:rsidRPr="00816DDD" w:rsidRDefault="00B859CC" w:rsidP="00B859CC">
            <w:pPr>
              <w:widowControl w:val="0"/>
              <w:contextualSpacing/>
              <w:jc w:val="center"/>
              <w:rPr>
                <w:sz w:val="20"/>
                <w:szCs w:val="20"/>
              </w:rPr>
            </w:pPr>
            <w:r w:rsidRPr="00816DDD">
              <w:rPr>
                <w:rFonts w:hint="cs"/>
                <w:sz w:val="20"/>
                <w:szCs w:val="20"/>
              </w:rPr>
              <w:t>NOK (578)</w:t>
            </w:r>
          </w:p>
        </w:tc>
        <w:tc>
          <w:tcPr>
            <w:tcW w:w="1980" w:type="dxa"/>
          </w:tcPr>
          <w:p w14:paraId="203C8D6B" w14:textId="77777777" w:rsidR="00B859CC" w:rsidRPr="00816DDD" w:rsidRDefault="00B859CC" w:rsidP="00B859CC">
            <w:pPr>
              <w:widowControl w:val="0"/>
              <w:ind w:left="-14"/>
              <w:contextualSpacing/>
              <w:rPr>
                <w:sz w:val="20"/>
                <w:szCs w:val="20"/>
              </w:rPr>
            </w:pPr>
            <w:r w:rsidRPr="00816DDD">
              <w:rPr>
                <w:rFonts w:hint="cs"/>
                <w:sz w:val="20"/>
                <w:szCs w:val="20"/>
              </w:rPr>
              <w:t>Norwegian Krone</w:t>
            </w:r>
          </w:p>
        </w:tc>
      </w:tr>
      <w:tr w:rsidR="00816DDD" w:rsidRPr="00816DDD" w14:paraId="34B55D3E" w14:textId="77777777" w:rsidTr="00567210">
        <w:tc>
          <w:tcPr>
            <w:tcW w:w="1440" w:type="dxa"/>
          </w:tcPr>
          <w:p w14:paraId="738875CA" w14:textId="77777777" w:rsidR="00B859CC" w:rsidRPr="00816DDD" w:rsidRDefault="00B859CC" w:rsidP="00B859CC">
            <w:pPr>
              <w:widowControl w:val="0"/>
              <w:contextualSpacing/>
              <w:jc w:val="center"/>
              <w:rPr>
                <w:sz w:val="20"/>
                <w:szCs w:val="20"/>
              </w:rPr>
            </w:pPr>
            <w:r w:rsidRPr="00816DDD">
              <w:rPr>
                <w:rFonts w:hint="cs"/>
                <w:sz w:val="20"/>
                <w:szCs w:val="20"/>
              </w:rPr>
              <w:t>EUR (978)</w:t>
            </w:r>
          </w:p>
        </w:tc>
        <w:tc>
          <w:tcPr>
            <w:tcW w:w="2160" w:type="dxa"/>
          </w:tcPr>
          <w:p w14:paraId="551BB174" w14:textId="77777777" w:rsidR="00B859CC" w:rsidRPr="00816DDD" w:rsidRDefault="00B859CC" w:rsidP="00B859CC">
            <w:pPr>
              <w:widowControl w:val="0"/>
              <w:ind w:hanging="14"/>
              <w:contextualSpacing/>
              <w:rPr>
                <w:sz w:val="20"/>
                <w:szCs w:val="20"/>
              </w:rPr>
            </w:pPr>
            <w:r w:rsidRPr="00816DDD">
              <w:rPr>
                <w:rFonts w:hint="cs"/>
                <w:sz w:val="20"/>
                <w:szCs w:val="20"/>
              </w:rPr>
              <w:t>Euro</w:t>
            </w:r>
          </w:p>
        </w:tc>
        <w:tc>
          <w:tcPr>
            <w:tcW w:w="1440" w:type="dxa"/>
          </w:tcPr>
          <w:p w14:paraId="22739EB6" w14:textId="77777777" w:rsidR="00B859CC" w:rsidRPr="00816DDD" w:rsidRDefault="00B859CC" w:rsidP="00B859CC">
            <w:pPr>
              <w:widowControl w:val="0"/>
              <w:contextualSpacing/>
              <w:jc w:val="center"/>
              <w:rPr>
                <w:sz w:val="20"/>
                <w:szCs w:val="20"/>
              </w:rPr>
            </w:pPr>
            <w:r w:rsidRPr="00816DDD">
              <w:rPr>
                <w:rFonts w:hint="cs"/>
                <w:sz w:val="20"/>
                <w:szCs w:val="20"/>
              </w:rPr>
              <w:t>BRL (986)</w:t>
            </w:r>
          </w:p>
        </w:tc>
        <w:tc>
          <w:tcPr>
            <w:tcW w:w="1980" w:type="dxa"/>
          </w:tcPr>
          <w:p w14:paraId="489C715A" w14:textId="77777777" w:rsidR="00B859CC" w:rsidRPr="00816DDD" w:rsidRDefault="00B859CC" w:rsidP="00B859CC">
            <w:pPr>
              <w:widowControl w:val="0"/>
              <w:ind w:left="-14"/>
              <w:contextualSpacing/>
              <w:rPr>
                <w:sz w:val="20"/>
                <w:szCs w:val="20"/>
              </w:rPr>
            </w:pPr>
            <w:r w:rsidRPr="00816DDD">
              <w:rPr>
                <w:rFonts w:hint="cs"/>
                <w:sz w:val="20"/>
                <w:szCs w:val="20"/>
              </w:rPr>
              <w:t>Brazilian Real</w:t>
            </w:r>
          </w:p>
        </w:tc>
      </w:tr>
      <w:tr w:rsidR="00816DDD" w:rsidRPr="00816DDD" w14:paraId="0CF1C2C6" w14:textId="77777777" w:rsidTr="00567210">
        <w:tc>
          <w:tcPr>
            <w:tcW w:w="1440" w:type="dxa"/>
          </w:tcPr>
          <w:p w14:paraId="2CC6DB4E" w14:textId="77777777" w:rsidR="00B859CC" w:rsidRPr="00816DDD" w:rsidRDefault="00B859CC" w:rsidP="00B859CC">
            <w:pPr>
              <w:widowControl w:val="0"/>
              <w:contextualSpacing/>
              <w:jc w:val="center"/>
              <w:rPr>
                <w:sz w:val="20"/>
                <w:szCs w:val="20"/>
              </w:rPr>
            </w:pPr>
            <w:r w:rsidRPr="00816DDD">
              <w:rPr>
                <w:rFonts w:hint="cs"/>
                <w:sz w:val="20"/>
                <w:szCs w:val="20"/>
              </w:rPr>
              <w:t>JPY (392)</w:t>
            </w:r>
          </w:p>
        </w:tc>
        <w:tc>
          <w:tcPr>
            <w:tcW w:w="2160" w:type="dxa"/>
          </w:tcPr>
          <w:p w14:paraId="63D8199F" w14:textId="77777777" w:rsidR="00B859CC" w:rsidRPr="00816DDD" w:rsidRDefault="00B859CC" w:rsidP="00B859CC">
            <w:pPr>
              <w:widowControl w:val="0"/>
              <w:ind w:hanging="14"/>
              <w:contextualSpacing/>
              <w:rPr>
                <w:sz w:val="20"/>
                <w:szCs w:val="20"/>
              </w:rPr>
            </w:pPr>
            <w:r w:rsidRPr="00816DDD">
              <w:rPr>
                <w:rFonts w:hint="cs"/>
                <w:sz w:val="20"/>
                <w:szCs w:val="20"/>
              </w:rPr>
              <w:t>Japanese Yen</w:t>
            </w:r>
          </w:p>
        </w:tc>
        <w:tc>
          <w:tcPr>
            <w:tcW w:w="1440" w:type="dxa"/>
          </w:tcPr>
          <w:p w14:paraId="745BE43E" w14:textId="77777777" w:rsidR="00B859CC" w:rsidRPr="00816DDD" w:rsidRDefault="00B859CC" w:rsidP="00B859CC">
            <w:pPr>
              <w:widowControl w:val="0"/>
              <w:contextualSpacing/>
              <w:jc w:val="center"/>
              <w:rPr>
                <w:sz w:val="20"/>
                <w:szCs w:val="20"/>
              </w:rPr>
            </w:pPr>
            <w:r w:rsidRPr="00816DDD">
              <w:rPr>
                <w:rFonts w:hint="cs"/>
                <w:sz w:val="20"/>
                <w:szCs w:val="20"/>
              </w:rPr>
              <w:t>SGD (702)</w:t>
            </w:r>
          </w:p>
        </w:tc>
        <w:tc>
          <w:tcPr>
            <w:tcW w:w="1980" w:type="dxa"/>
          </w:tcPr>
          <w:p w14:paraId="0450058E" w14:textId="77777777" w:rsidR="00B859CC" w:rsidRPr="00816DDD" w:rsidRDefault="00B859CC" w:rsidP="00B859CC">
            <w:pPr>
              <w:widowControl w:val="0"/>
              <w:ind w:left="-14"/>
              <w:contextualSpacing/>
              <w:rPr>
                <w:sz w:val="20"/>
                <w:szCs w:val="20"/>
              </w:rPr>
            </w:pPr>
            <w:r w:rsidRPr="00816DDD">
              <w:rPr>
                <w:rFonts w:hint="cs"/>
                <w:sz w:val="20"/>
                <w:szCs w:val="20"/>
              </w:rPr>
              <w:t>Singapore Dollar</w:t>
            </w:r>
          </w:p>
        </w:tc>
      </w:tr>
      <w:tr w:rsidR="00816DDD" w:rsidRPr="00816DDD" w14:paraId="1C69376C" w14:textId="77777777" w:rsidTr="00567210">
        <w:tc>
          <w:tcPr>
            <w:tcW w:w="1440" w:type="dxa"/>
          </w:tcPr>
          <w:p w14:paraId="31C9E386" w14:textId="77777777" w:rsidR="00B859CC" w:rsidRPr="00816DDD" w:rsidRDefault="00B859CC" w:rsidP="00B859CC">
            <w:pPr>
              <w:widowControl w:val="0"/>
              <w:contextualSpacing/>
              <w:jc w:val="center"/>
              <w:rPr>
                <w:sz w:val="20"/>
                <w:szCs w:val="20"/>
              </w:rPr>
            </w:pPr>
            <w:r w:rsidRPr="00816DDD">
              <w:rPr>
                <w:rFonts w:hint="cs"/>
                <w:sz w:val="20"/>
                <w:szCs w:val="20"/>
              </w:rPr>
              <w:t>GBP (826)</w:t>
            </w:r>
          </w:p>
        </w:tc>
        <w:tc>
          <w:tcPr>
            <w:tcW w:w="2160" w:type="dxa"/>
          </w:tcPr>
          <w:p w14:paraId="292A4AFF" w14:textId="77777777" w:rsidR="00B859CC" w:rsidRPr="00816DDD" w:rsidRDefault="00B859CC" w:rsidP="00B859CC">
            <w:pPr>
              <w:widowControl w:val="0"/>
              <w:ind w:hanging="14"/>
              <w:contextualSpacing/>
              <w:rPr>
                <w:sz w:val="20"/>
                <w:szCs w:val="20"/>
              </w:rPr>
            </w:pPr>
            <w:r w:rsidRPr="00816DDD">
              <w:rPr>
                <w:rFonts w:hint="cs"/>
                <w:sz w:val="20"/>
                <w:szCs w:val="20"/>
              </w:rPr>
              <w:t>British Pound</w:t>
            </w:r>
          </w:p>
        </w:tc>
        <w:tc>
          <w:tcPr>
            <w:tcW w:w="1440" w:type="dxa"/>
          </w:tcPr>
          <w:p w14:paraId="568BDEC5" w14:textId="77777777" w:rsidR="00B859CC" w:rsidRPr="00816DDD" w:rsidRDefault="00B859CC" w:rsidP="00B859CC">
            <w:pPr>
              <w:widowControl w:val="0"/>
              <w:contextualSpacing/>
              <w:jc w:val="center"/>
              <w:rPr>
                <w:sz w:val="20"/>
                <w:szCs w:val="20"/>
              </w:rPr>
            </w:pPr>
            <w:r w:rsidRPr="00816DDD">
              <w:rPr>
                <w:rFonts w:hint="cs"/>
                <w:sz w:val="20"/>
                <w:szCs w:val="20"/>
              </w:rPr>
              <w:t>MXN (484)</w:t>
            </w:r>
          </w:p>
        </w:tc>
        <w:tc>
          <w:tcPr>
            <w:tcW w:w="1980" w:type="dxa"/>
          </w:tcPr>
          <w:p w14:paraId="4EEE0601" w14:textId="77777777" w:rsidR="00B859CC" w:rsidRPr="00816DDD" w:rsidRDefault="00B859CC" w:rsidP="00B859CC">
            <w:pPr>
              <w:widowControl w:val="0"/>
              <w:ind w:left="-14"/>
              <w:contextualSpacing/>
              <w:rPr>
                <w:sz w:val="20"/>
                <w:szCs w:val="20"/>
              </w:rPr>
            </w:pPr>
            <w:r w:rsidRPr="00816DDD">
              <w:rPr>
                <w:rFonts w:hint="cs"/>
                <w:sz w:val="20"/>
                <w:szCs w:val="20"/>
              </w:rPr>
              <w:t>Mexican Peso</w:t>
            </w:r>
          </w:p>
        </w:tc>
      </w:tr>
      <w:tr w:rsidR="00816DDD" w:rsidRPr="00816DDD" w14:paraId="4D2410A3" w14:textId="77777777" w:rsidTr="00567210">
        <w:tc>
          <w:tcPr>
            <w:tcW w:w="1440" w:type="dxa"/>
          </w:tcPr>
          <w:p w14:paraId="0B7FE2A9" w14:textId="77777777" w:rsidR="00B859CC" w:rsidRPr="00816DDD" w:rsidRDefault="00B859CC" w:rsidP="00B859CC">
            <w:pPr>
              <w:widowControl w:val="0"/>
              <w:contextualSpacing/>
              <w:jc w:val="center"/>
              <w:rPr>
                <w:sz w:val="20"/>
                <w:szCs w:val="20"/>
              </w:rPr>
            </w:pPr>
            <w:r w:rsidRPr="00816DDD">
              <w:rPr>
                <w:rFonts w:hint="cs"/>
                <w:sz w:val="20"/>
                <w:szCs w:val="20"/>
              </w:rPr>
              <w:t>CHF (756)</w:t>
            </w:r>
          </w:p>
        </w:tc>
        <w:tc>
          <w:tcPr>
            <w:tcW w:w="2160" w:type="dxa"/>
          </w:tcPr>
          <w:p w14:paraId="44271841" w14:textId="77777777" w:rsidR="00B859CC" w:rsidRPr="00816DDD" w:rsidRDefault="00B859CC" w:rsidP="00B859CC">
            <w:pPr>
              <w:widowControl w:val="0"/>
              <w:ind w:hanging="14"/>
              <w:contextualSpacing/>
              <w:rPr>
                <w:sz w:val="20"/>
                <w:szCs w:val="20"/>
              </w:rPr>
            </w:pPr>
            <w:r w:rsidRPr="00816DDD">
              <w:rPr>
                <w:rFonts w:hint="cs"/>
                <w:sz w:val="20"/>
                <w:szCs w:val="20"/>
              </w:rPr>
              <w:t>Swiss Franc</w:t>
            </w:r>
          </w:p>
        </w:tc>
        <w:tc>
          <w:tcPr>
            <w:tcW w:w="1440" w:type="dxa"/>
          </w:tcPr>
          <w:p w14:paraId="2ADA4B8F" w14:textId="77777777" w:rsidR="00B859CC" w:rsidRPr="00816DDD" w:rsidRDefault="00B859CC" w:rsidP="00B859CC">
            <w:pPr>
              <w:widowControl w:val="0"/>
              <w:contextualSpacing/>
              <w:jc w:val="center"/>
              <w:rPr>
                <w:sz w:val="20"/>
                <w:szCs w:val="20"/>
              </w:rPr>
            </w:pPr>
            <w:r w:rsidRPr="00816DDD">
              <w:rPr>
                <w:rFonts w:hint="cs"/>
                <w:sz w:val="20"/>
                <w:szCs w:val="20"/>
              </w:rPr>
              <w:t>CNY (156)</w:t>
            </w:r>
          </w:p>
        </w:tc>
        <w:tc>
          <w:tcPr>
            <w:tcW w:w="1980" w:type="dxa"/>
          </w:tcPr>
          <w:p w14:paraId="13916D8A" w14:textId="77777777" w:rsidR="00B859CC" w:rsidRPr="00816DDD" w:rsidRDefault="00B859CC" w:rsidP="00B859CC">
            <w:pPr>
              <w:widowControl w:val="0"/>
              <w:ind w:left="-14"/>
              <w:contextualSpacing/>
              <w:rPr>
                <w:sz w:val="20"/>
                <w:szCs w:val="20"/>
              </w:rPr>
            </w:pPr>
            <w:r w:rsidRPr="00816DDD">
              <w:rPr>
                <w:rFonts w:hint="cs"/>
                <w:sz w:val="20"/>
                <w:szCs w:val="20"/>
              </w:rPr>
              <w:t>Chinese Renminbi</w:t>
            </w:r>
          </w:p>
        </w:tc>
      </w:tr>
      <w:tr w:rsidR="00816DDD" w:rsidRPr="00816DDD" w14:paraId="3974C7D0" w14:textId="77777777" w:rsidTr="00567210">
        <w:tc>
          <w:tcPr>
            <w:tcW w:w="1440" w:type="dxa"/>
          </w:tcPr>
          <w:p w14:paraId="7B9F1E52" w14:textId="77777777" w:rsidR="00B859CC" w:rsidRPr="00816DDD" w:rsidRDefault="00B859CC" w:rsidP="00B859CC">
            <w:pPr>
              <w:widowControl w:val="0"/>
              <w:contextualSpacing/>
              <w:jc w:val="center"/>
              <w:rPr>
                <w:sz w:val="20"/>
                <w:szCs w:val="20"/>
              </w:rPr>
            </w:pPr>
            <w:r w:rsidRPr="00816DDD">
              <w:rPr>
                <w:rFonts w:hint="cs"/>
                <w:sz w:val="20"/>
                <w:szCs w:val="20"/>
              </w:rPr>
              <w:t>CAD (124)</w:t>
            </w:r>
          </w:p>
        </w:tc>
        <w:tc>
          <w:tcPr>
            <w:tcW w:w="2160" w:type="dxa"/>
          </w:tcPr>
          <w:p w14:paraId="225B1937" w14:textId="77777777" w:rsidR="00B859CC" w:rsidRPr="00816DDD" w:rsidRDefault="00B859CC" w:rsidP="00B859CC">
            <w:pPr>
              <w:widowControl w:val="0"/>
              <w:ind w:hanging="14"/>
              <w:contextualSpacing/>
              <w:rPr>
                <w:sz w:val="20"/>
                <w:szCs w:val="20"/>
              </w:rPr>
            </w:pPr>
            <w:r w:rsidRPr="00816DDD">
              <w:rPr>
                <w:rFonts w:hint="cs"/>
                <w:sz w:val="20"/>
                <w:szCs w:val="20"/>
              </w:rPr>
              <w:t>Canadian Dollar</w:t>
            </w:r>
          </w:p>
        </w:tc>
        <w:tc>
          <w:tcPr>
            <w:tcW w:w="1440" w:type="dxa"/>
          </w:tcPr>
          <w:p w14:paraId="1BE31C56" w14:textId="77777777" w:rsidR="00B859CC" w:rsidRPr="00816DDD" w:rsidRDefault="00B859CC" w:rsidP="00B859CC">
            <w:pPr>
              <w:widowControl w:val="0"/>
              <w:contextualSpacing/>
              <w:jc w:val="center"/>
              <w:rPr>
                <w:sz w:val="20"/>
                <w:szCs w:val="20"/>
              </w:rPr>
            </w:pPr>
            <w:r w:rsidRPr="00816DDD">
              <w:rPr>
                <w:rFonts w:hint="cs"/>
                <w:sz w:val="20"/>
                <w:szCs w:val="20"/>
              </w:rPr>
              <w:t>HKD (344)</w:t>
            </w:r>
          </w:p>
        </w:tc>
        <w:tc>
          <w:tcPr>
            <w:tcW w:w="1980" w:type="dxa"/>
          </w:tcPr>
          <w:p w14:paraId="72C2E269" w14:textId="77777777" w:rsidR="00B859CC" w:rsidRPr="00816DDD" w:rsidRDefault="00B859CC" w:rsidP="00B859CC">
            <w:pPr>
              <w:widowControl w:val="0"/>
              <w:ind w:left="-14"/>
              <w:contextualSpacing/>
              <w:rPr>
                <w:sz w:val="20"/>
                <w:szCs w:val="20"/>
              </w:rPr>
            </w:pPr>
            <w:r w:rsidRPr="00816DDD">
              <w:rPr>
                <w:rFonts w:hint="cs"/>
                <w:sz w:val="20"/>
                <w:szCs w:val="20"/>
              </w:rPr>
              <w:t>Hong Kong Dollar</w:t>
            </w:r>
          </w:p>
        </w:tc>
      </w:tr>
      <w:tr w:rsidR="00816DDD" w:rsidRPr="00816DDD" w14:paraId="4E8FE4EC" w14:textId="77777777" w:rsidTr="00567210">
        <w:tc>
          <w:tcPr>
            <w:tcW w:w="1440" w:type="dxa"/>
          </w:tcPr>
          <w:p w14:paraId="50223F2B" w14:textId="6FDF0A7C" w:rsidR="00B859CC" w:rsidRPr="00816DDD" w:rsidRDefault="00B859CC" w:rsidP="00B859CC">
            <w:pPr>
              <w:widowControl w:val="0"/>
              <w:contextualSpacing/>
              <w:jc w:val="center"/>
              <w:rPr>
                <w:sz w:val="20"/>
                <w:szCs w:val="20"/>
              </w:rPr>
            </w:pPr>
            <w:r w:rsidRPr="00816DDD">
              <w:rPr>
                <w:rFonts w:hint="cs"/>
                <w:sz w:val="20"/>
                <w:szCs w:val="20"/>
              </w:rPr>
              <w:t>AUD (036)</w:t>
            </w:r>
          </w:p>
        </w:tc>
        <w:tc>
          <w:tcPr>
            <w:tcW w:w="2160" w:type="dxa"/>
          </w:tcPr>
          <w:p w14:paraId="4CDE2ED6" w14:textId="77777777" w:rsidR="00B859CC" w:rsidRPr="00816DDD" w:rsidRDefault="00B859CC" w:rsidP="00B859CC">
            <w:pPr>
              <w:widowControl w:val="0"/>
              <w:ind w:hanging="14"/>
              <w:contextualSpacing/>
              <w:rPr>
                <w:sz w:val="20"/>
                <w:szCs w:val="20"/>
              </w:rPr>
            </w:pPr>
            <w:r w:rsidRPr="00816DDD">
              <w:rPr>
                <w:rFonts w:hint="cs"/>
                <w:sz w:val="20"/>
                <w:szCs w:val="20"/>
              </w:rPr>
              <w:t>Australia Dollar</w:t>
            </w:r>
          </w:p>
        </w:tc>
        <w:tc>
          <w:tcPr>
            <w:tcW w:w="1440" w:type="dxa"/>
          </w:tcPr>
          <w:p w14:paraId="02B795E5" w14:textId="77777777" w:rsidR="00B859CC" w:rsidRPr="00816DDD" w:rsidRDefault="00B859CC" w:rsidP="00B859CC">
            <w:pPr>
              <w:widowControl w:val="0"/>
              <w:contextualSpacing/>
              <w:jc w:val="center"/>
              <w:rPr>
                <w:sz w:val="20"/>
                <w:szCs w:val="20"/>
              </w:rPr>
            </w:pPr>
            <w:r w:rsidRPr="00816DDD">
              <w:rPr>
                <w:rFonts w:hint="cs"/>
                <w:sz w:val="20"/>
                <w:szCs w:val="20"/>
              </w:rPr>
              <w:t>INR (356)</w:t>
            </w:r>
          </w:p>
        </w:tc>
        <w:tc>
          <w:tcPr>
            <w:tcW w:w="1980" w:type="dxa"/>
          </w:tcPr>
          <w:p w14:paraId="57FE36F9" w14:textId="77777777" w:rsidR="00B859CC" w:rsidRPr="00816DDD" w:rsidRDefault="00B859CC" w:rsidP="00B859CC">
            <w:pPr>
              <w:widowControl w:val="0"/>
              <w:ind w:left="-14"/>
              <w:contextualSpacing/>
              <w:rPr>
                <w:sz w:val="20"/>
                <w:szCs w:val="20"/>
              </w:rPr>
            </w:pPr>
            <w:r w:rsidRPr="00816DDD">
              <w:rPr>
                <w:rFonts w:hint="cs"/>
                <w:sz w:val="20"/>
                <w:szCs w:val="20"/>
              </w:rPr>
              <w:t>Indian Rupee</w:t>
            </w:r>
          </w:p>
        </w:tc>
      </w:tr>
      <w:tr w:rsidR="00816DDD" w:rsidRPr="00816DDD" w14:paraId="1C6B8C0F" w14:textId="77777777" w:rsidTr="00567210">
        <w:tc>
          <w:tcPr>
            <w:tcW w:w="1440" w:type="dxa"/>
          </w:tcPr>
          <w:p w14:paraId="014E02E3" w14:textId="77777777" w:rsidR="00B859CC" w:rsidRPr="00816DDD" w:rsidRDefault="00B859CC" w:rsidP="00B859CC">
            <w:pPr>
              <w:widowControl w:val="0"/>
              <w:contextualSpacing/>
              <w:jc w:val="center"/>
              <w:rPr>
                <w:sz w:val="20"/>
                <w:szCs w:val="20"/>
              </w:rPr>
            </w:pPr>
            <w:r w:rsidRPr="00816DDD">
              <w:rPr>
                <w:rFonts w:hint="cs"/>
                <w:sz w:val="20"/>
                <w:szCs w:val="20"/>
              </w:rPr>
              <w:t>NZD (554)</w:t>
            </w:r>
          </w:p>
        </w:tc>
        <w:tc>
          <w:tcPr>
            <w:tcW w:w="2160" w:type="dxa"/>
          </w:tcPr>
          <w:p w14:paraId="28D16714" w14:textId="77777777" w:rsidR="00B859CC" w:rsidRPr="00816DDD" w:rsidRDefault="00B859CC" w:rsidP="00B859CC">
            <w:pPr>
              <w:widowControl w:val="0"/>
              <w:ind w:hanging="14"/>
              <w:contextualSpacing/>
              <w:rPr>
                <w:sz w:val="20"/>
                <w:szCs w:val="20"/>
              </w:rPr>
            </w:pPr>
            <w:r w:rsidRPr="00816DDD">
              <w:rPr>
                <w:rFonts w:hint="cs"/>
                <w:sz w:val="20"/>
                <w:szCs w:val="20"/>
              </w:rPr>
              <w:t>New Zealand Dollar</w:t>
            </w:r>
          </w:p>
        </w:tc>
        <w:tc>
          <w:tcPr>
            <w:tcW w:w="1440" w:type="dxa"/>
          </w:tcPr>
          <w:p w14:paraId="046C2EFB" w14:textId="77777777" w:rsidR="00B859CC" w:rsidRPr="00816DDD" w:rsidRDefault="00B859CC" w:rsidP="00B859CC">
            <w:pPr>
              <w:widowControl w:val="0"/>
              <w:contextualSpacing/>
              <w:jc w:val="center"/>
              <w:rPr>
                <w:sz w:val="20"/>
                <w:szCs w:val="20"/>
              </w:rPr>
            </w:pPr>
            <w:r w:rsidRPr="00816DDD">
              <w:rPr>
                <w:rFonts w:hint="cs"/>
                <w:sz w:val="20"/>
                <w:szCs w:val="20"/>
              </w:rPr>
              <w:t>KRW (410)</w:t>
            </w:r>
          </w:p>
        </w:tc>
        <w:tc>
          <w:tcPr>
            <w:tcW w:w="1980" w:type="dxa"/>
          </w:tcPr>
          <w:p w14:paraId="45530174" w14:textId="77777777" w:rsidR="00B859CC" w:rsidRPr="00816DDD" w:rsidRDefault="00B859CC" w:rsidP="00B859CC">
            <w:pPr>
              <w:widowControl w:val="0"/>
              <w:ind w:left="-14"/>
              <w:contextualSpacing/>
              <w:rPr>
                <w:sz w:val="20"/>
                <w:szCs w:val="20"/>
              </w:rPr>
            </w:pPr>
            <w:r w:rsidRPr="00816DDD">
              <w:rPr>
                <w:rFonts w:hint="cs"/>
                <w:sz w:val="20"/>
                <w:szCs w:val="20"/>
              </w:rPr>
              <w:t>South Korean Won</w:t>
            </w:r>
          </w:p>
        </w:tc>
      </w:tr>
      <w:tr w:rsidR="00816DDD" w:rsidRPr="00816DDD" w14:paraId="21533FB4" w14:textId="77777777" w:rsidTr="00567210">
        <w:tc>
          <w:tcPr>
            <w:tcW w:w="1440" w:type="dxa"/>
          </w:tcPr>
          <w:p w14:paraId="64E8CD33" w14:textId="77777777" w:rsidR="00B859CC" w:rsidRPr="00816DDD" w:rsidRDefault="00B859CC" w:rsidP="00B859CC">
            <w:pPr>
              <w:widowControl w:val="0"/>
              <w:contextualSpacing/>
              <w:jc w:val="center"/>
              <w:rPr>
                <w:sz w:val="20"/>
                <w:szCs w:val="20"/>
              </w:rPr>
            </w:pPr>
            <w:r w:rsidRPr="00816DDD">
              <w:rPr>
                <w:rFonts w:hint="cs"/>
                <w:sz w:val="20"/>
                <w:szCs w:val="20"/>
              </w:rPr>
              <w:t>ZAR (710)</w:t>
            </w:r>
          </w:p>
        </w:tc>
        <w:tc>
          <w:tcPr>
            <w:tcW w:w="2160" w:type="dxa"/>
          </w:tcPr>
          <w:p w14:paraId="52150EBE" w14:textId="77777777" w:rsidR="00B859CC" w:rsidRPr="00816DDD" w:rsidRDefault="00B859CC" w:rsidP="00B859CC">
            <w:pPr>
              <w:widowControl w:val="0"/>
              <w:ind w:hanging="14"/>
              <w:contextualSpacing/>
              <w:rPr>
                <w:sz w:val="20"/>
                <w:szCs w:val="20"/>
              </w:rPr>
            </w:pPr>
            <w:r w:rsidRPr="00816DDD">
              <w:rPr>
                <w:rFonts w:hint="cs"/>
                <w:sz w:val="20"/>
                <w:szCs w:val="20"/>
              </w:rPr>
              <w:t>South African Rand</w:t>
            </w:r>
          </w:p>
        </w:tc>
        <w:tc>
          <w:tcPr>
            <w:tcW w:w="1440" w:type="dxa"/>
          </w:tcPr>
          <w:p w14:paraId="0CE37A79" w14:textId="77777777" w:rsidR="00B859CC" w:rsidRPr="00816DDD" w:rsidRDefault="00B859CC" w:rsidP="00B859CC">
            <w:pPr>
              <w:widowControl w:val="0"/>
              <w:contextualSpacing/>
              <w:jc w:val="center"/>
              <w:rPr>
                <w:sz w:val="20"/>
                <w:szCs w:val="20"/>
              </w:rPr>
            </w:pPr>
            <w:r w:rsidRPr="00816DDD">
              <w:rPr>
                <w:rFonts w:hint="cs"/>
                <w:sz w:val="20"/>
                <w:szCs w:val="20"/>
              </w:rPr>
              <w:t>RUB (643)</w:t>
            </w:r>
          </w:p>
        </w:tc>
        <w:tc>
          <w:tcPr>
            <w:tcW w:w="1980" w:type="dxa"/>
          </w:tcPr>
          <w:p w14:paraId="0DDE3992" w14:textId="77777777" w:rsidR="00B859CC" w:rsidRPr="00816DDD" w:rsidRDefault="00B859CC" w:rsidP="00B859CC">
            <w:pPr>
              <w:widowControl w:val="0"/>
              <w:ind w:left="-14"/>
              <w:contextualSpacing/>
              <w:rPr>
                <w:sz w:val="20"/>
                <w:szCs w:val="20"/>
              </w:rPr>
            </w:pPr>
            <w:r w:rsidRPr="00816DDD">
              <w:rPr>
                <w:rFonts w:hint="cs"/>
                <w:sz w:val="20"/>
                <w:szCs w:val="20"/>
              </w:rPr>
              <w:t>Russian Rubble</w:t>
            </w:r>
          </w:p>
        </w:tc>
      </w:tr>
      <w:tr w:rsidR="00B859CC" w:rsidRPr="00816DDD" w14:paraId="50DA9756" w14:textId="77777777" w:rsidTr="00567210">
        <w:tc>
          <w:tcPr>
            <w:tcW w:w="1440" w:type="dxa"/>
          </w:tcPr>
          <w:p w14:paraId="11BF8F92" w14:textId="77777777" w:rsidR="00B859CC" w:rsidRPr="00816DDD" w:rsidRDefault="00B859CC" w:rsidP="00B859CC">
            <w:pPr>
              <w:widowControl w:val="0"/>
              <w:contextualSpacing/>
              <w:jc w:val="center"/>
              <w:rPr>
                <w:sz w:val="20"/>
                <w:szCs w:val="20"/>
              </w:rPr>
            </w:pPr>
            <w:r w:rsidRPr="00816DDD">
              <w:rPr>
                <w:rFonts w:hint="cs"/>
                <w:sz w:val="20"/>
                <w:szCs w:val="20"/>
              </w:rPr>
              <w:t>SEK (752)</w:t>
            </w:r>
          </w:p>
        </w:tc>
        <w:tc>
          <w:tcPr>
            <w:tcW w:w="2160" w:type="dxa"/>
          </w:tcPr>
          <w:p w14:paraId="7CF389D6" w14:textId="77777777" w:rsidR="00B859CC" w:rsidRPr="00816DDD" w:rsidRDefault="00B859CC" w:rsidP="00B859CC">
            <w:pPr>
              <w:widowControl w:val="0"/>
              <w:ind w:hanging="14"/>
              <w:contextualSpacing/>
              <w:rPr>
                <w:sz w:val="20"/>
                <w:szCs w:val="20"/>
              </w:rPr>
            </w:pPr>
            <w:r w:rsidRPr="00816DDD">
              <w:rPr>
                <w:rFonts w:hint="cs"/>
                <w:sz w:val="20"/>
                <w:szCs w:val="20"/>
              </w:rPr>
              <w:t>Swedish Krona</w:t>
            </w:r>
          </w:p>
        </w:tc>
        <w:tc>
          <w:tcPr>
            <w:tcW w:w="1440" w:type="dxa"/>
          </w:tcPr>
          <w:p w14:paraId="25FBC09E" w14:textId="77777777" w:rsidR="00B859CC" w:rsidRPr="00816DDD" w:rsidRDefault="00B859CC" w:rsidP="00B859CC">
            <w:pPr>
              <w:widowControl w:val="0"/>
              <w:contextualSpacing/>
              <w:jc w:val="center"/>
              <w:rPr>
                <w:sz w:val="20"/>
                <w:szCs w:val="20"/>
              </w:rPr>
            </w:pPr>
          </w:p>
        </w:tc>
        <w:tc>
          <w:tcPr>
            <w:tcW w:w="1980" w:type="dxa"/>
          </w:tcPr>
          <w:p w14:paraId="46193A33" w14:textId="77777777" w:rsidR="00B859CC" w:rsidRPr="00816DDD" w:rsidRDefault="00B859CC" w:rsidP="00B859CC">
            <w:pPr>
              <w:widowControl w:val="0"/>
              <w:ind w:left="-14"/>
              <w:contextualSpacing/>
              <w:rPr>
                <w:sz w:val="20"/>
                <w:szCs w:val="20"/>
              </w:rPr>
            </w:pPr>
          </w:p>
        </w:tc>
      </w:tr>
    </w:tbl>
    <w:p w14:paraId="6CEC8BCA" w14:textId="77777777" w:rsidR="00B859CC" w:rsidRPr="00816DDD" w:rsidRDefault="00B859CC" w:rsidP="00B859CC">
      <w:pPr>
        <w:widowControl w:val="0"/>
        <w:spacing w:after="0" w:line="240" w:lineRule="auto"/>
        <w:rPr>
          <w:szCs w:val="24"/>
        </w:rPr>
      </w:pPr>
    </w:p>
    <w:p w14:paraId="49BBC483" w14:textId="1CADE107" w:rsidR="00B859CC" w:rsidRPr="00816DDD" w:rsidRDefault="00B859CC" w:rsidP="00B859CC">
      <w:pPr>
        <w:widowControl w:val="0"/>
        <w:spacing w:after="0" w:line="240" w:lineRule="auto"/>
        <w:rPr>
          <w:szCs w:val="24"/>
        </w:rPr>
      </w:pPr>
      <w:r w:rsidRPr="00816DDD">
        <w:rPr>
          <w:rFonts w:hint="cs"/>
          <w:szCs w:val="24"/>
        </w:rPr>
        <w:t xml:space="preserve">Exchange rate quotations are supplied by the reporting currency dealers who buy and sell currency for their customers in the foreign exchange market.  Quotes from different dealers vary for </w:t>
      </w:r>
      <w:r w:rsidR="0030071D">
        <w:rPr>
          <w:szCs w:val="24"/>
        </w:rPr>
        <w:t>identical</w:t>
      </w:r>
      <w:r w:rsidRPr="00816DDD">
        <w:rPr>
          <w:rFonts w:hint="cs"/>
          <w:szCs w:val="24"/>
        </w:rPr>
        <w:t xml:space="preserve"> currency pairs, but the differences are small due to the efficiency of the currency market.  A currency pair refers to the two currencies being traded.</w:t>
      </w:r>
    </w:p>
    <w:p w14:paraId="436EA071" w14:textId="77777777" w:rsidR="00B859CC" w:rsidRPr="00816DDD" w:rsidRDefault="00B859CC" w:rsidP="00B859CC">
      <w:pPr>
        <w:widowControl w:val="0"/>
        <w:spacing w:after="0" w:line="240" w:lineRule="auto"/>
        <w:rPr>
          <w:sz w:val="20"/>
          <w:szCs w:val="20"/>
        </w:rPr>
      </w:pPr>
    </w:p>
    <w:p w14:paraId="060DFA80" w14:textId="27E3EA44" w:rsidR="00B859CC" w:rsidRPr="00816DDD" w:rsidRDefault="00B859CC" w:rsidP="009A7EBD">
      <w:pPr>
        <w:widowControl w:val="0"/>
        <w:spacing w:after="0" w:line="240" w:lineRule="auto"/>
        <w:ind w:right="-36"/>
        <w:rPr>
          <w:szCs w:val="24"/>
        </w:rPr>
      </w:pPr>
      <w:r w:rsidRPr="00816DDD">
        <w:rPr>
          <w:rFonts w:hint="cs"/>
          <w:szCs w:val="24"/>
        </w:rPr>
        <w:t>Quotes are customarily taken to four decimal places</w:t>
      </w:r>
      <w:r w:rsidR="00AA0B27">
        <w:rPr>
          <w:szCs w:val="24"/>
        </w:rPr>
        <w:t>,</w:t>
      </w:r>
      <w:r w:rsidRPr="00816DDD">
        <w:rPr>
          <w:rFonts w:hint="cs"/>
          <w:szCs w:val="24"/>
        </w:rPr>
        <w:t xml:space="preserve"> which are 1/10000</w:t>
      </w:r>
      <w:r w:rsidRPr="00816DDD">
        <w:rPr>
          <w:rFonts w:hint="cs"/>
          <w:szCs w:val="24"/>
          <w:vertAlign w:val="superscript"/>
        </w:rPr>
        <w:t>th</w:t>
      </w:r>
      <w:r w:rsidRPr="00816DDD">
        <w:rPr>
          <w:rFonts w:hint="cs"/>
          <w:szCs w:val="24"/>
        </w:rPr>
        <w:t xml:space="preserve"> of a currency unit.  This is called a pip, or price interest point, and is the smallest price movement an exchange rate can make.  In some markets</w:t>
      </w:r>
      <w:r w:rsidRPr="00816DDD">
        <w:rPr>
          <w:rFonts w:hint="cs"/>
          <w:szCs w:val="24"/>
          <w:shd w:val="clear" w:color="auto" w:fill="FFFFFF"/>
        </w:rPr>
        <w:t>, quotes are taken to five decimal places.  For five decimal places, a fractional pip, or a pipette or deci-pip, is used</w:t>
      </w:r>
      <w:r w:rsidR="00AA0B27">
        <w:rPr>
          <w:szCs w:val="24"/>
          <w:shd w:val="clear" w:color="auto" w:fill="FFFFFF"/>
        </w:rPr>
        <w:t>,</w:t>
      </w:r>
      <w:r w:rsidRPr="00816DDD">
        <w:rPr>
          <w:rFonts w:hint="cs"/>
          <w:szCs w:val="24"/>
          <w:shd w:val="clear" w:color="auto" w:fill="FFFFFF"/>
        </w:rPr>
        <w:t xml:space="preserve"> which equals 1/10</w:t>
      </w:r>
      <w:r w:rsidRPr="00816DDD">
        <w:rPr>
          <w:rFonts w:hint="cs"/>
          <w:szCs w:val="24"/>
          <w:shd w:val="clear" w:color="auto" w:fill="FFFFFF"/>
          <w:vertAlign w:val="superscript"/>
        </w:rPr>
        <w:t>th</w:t>
      </w:r>
      <w:r w:rsidRPr="00816DDD">
        <w:rPr>
          <w:rFonts w:hint="cs"/>
          <w:szCs w:val="24"/>
          <w:shd w:val="clear" w:color="auto" w:fill="FFFFFF"/>
        </w:rPr>
        <w:t xml:space="preserve"> of a pip or 1/100000</w:t>
      </w:r>
      <w:r w:rsidRPr="00816DDD">
        <w:rPr>
          <w:rFonts w:hint="cs"/>
          <w:szCs w:val="24"/>
          <w:shd w:val="clear" w:color="auto" w:fill="FFFFFF"/>
          <w:vertAlign w:val="superscript"/>
        </w:rPr>
        <w:t>th</w:t>
      </w:r>
      <w:r w:rsidRPr="00816DDD">
        <w:rPr>
          <w:rFonts w:hint="cs"/>
          <w:szCs w:val="24"/>
          <w:shd w:val="clear" w:color="auto" w:fill="FFFFFF"/>
        </w:rPr>
        <w:t xml:space="preserve"> of a currency unit.  Going to five or more decimal places is </w:t>
      </w:r>
      <w:r w:rsidR="009A5E0B">
        <w:rPr>
          <w:szCs w:val="24"/>
          <w:shd w:val="clear" w:color="auto" w:fill="FFFFFF"/>
        </w:rPr>
        <w:t>helpful</w:t>
      </w:r>
      <w:r w:rsidRPr="00816DDD">
        <w:rPr>
          <w:rFonts w:hint="cs"/>
          <w:szCs w:val="24"/>
          <w:shd w:val="clear" w:color="auto" w:fill="FFFFFF"/>
        </w:rPr>
        <w:t xml:space="preserve"> if more precision is required in large currency transactions or to reduce </w:t>
      </w:r>
      <w:r w:rsidRPr="00816DDD">
        <w:rPr>
          <w:rFonts w:hint="cs"/>
          <w:szCs w:val="24"/>
        </w:rPr>
        <w:t xml:space="preserve">the bid-ask spread.  Transactions involving the EUR are usually taken to five places.  One exception to the four or </w:t>
      </w:r>
      <w:r w:rsidR="005A6781">
        <w:rPr>
          <w:szCs w:val="24"/>
        </w:rPr>
        <w:t>five-decimal-place</w:t>
      </w:r>
      <w:r w:rsidRPr="00816DDD">
        <w:rPr>
          <w:rFonts w:hint="cs"/>
          <w:szCs w:val="24"/>
        </w:rPr>
        <w:t xml:space="preserve"> rule is the Japanese Yen</w:t>
      </w:r>
      <w:r w:rsidR="00AA0B27">
        <w:rPr>
          <w:szCs w:val="24"/>
        </w:rPr>
        <w:t>,</w:t>
      </w:r>
      <w:r w:rsidRPr="00816DDD">
        <w:rPr>
          <w:rFonts w:hint="cs"/>
          <w:szCs w:val="24"/>
        </w:rPr>
        <w:t xml:space="preserve"> where the number of Yen needed to buy 1 USD is </w:t>
      </w:r>
      <w:r w:rsidR="009A5E0B">
        <w:rPr>
          <w:szCs w:val="24"/>
        </w:rPr>
        <w:t>relatively</w:t>
      </w:r>
      <w:r w:rsidRPr="00816DDD">
        <w:rPr>
          <w:rFonts w:hint="cs"/>
          <w:szCs w:val="24"/>
        </w:rPr>
        <w:t xml:space="preserve"> high.  In this case, the precision of four or five decimal places is unnecessary, so two decimal places </w:t>
      </w:r>
      <w:r w:rsidR="00AA0B27">
        <w:rPr>
          <w:szCs w:val="24"/>
        </w:rPr>
        <w:t>is</w:t>
      </w:r>
      <w:r w:rsidRPr="00816DDD">
        <w:rPr>
          <w:rFonts w:hint="cs"/>
          <w:szCs w:val="24"/>
        </w:rPr>
        <w:t xml:space="preserve"> </w:t>
      </w:r>
      <w:r w:rsidR="00F83AD1" w:rsidRPr="00816DDD">
        <w:rPr>
          <w:szCs w:val="24"/>
        </w:rPr>
        <w:t xml:space="preserve">the </w:t>
      </w:r>
      <w:r w:rsidRPr="00816DDD">
        <w:rPr>
          <w:rFonts w:hint="cs"/>
          <w:szCs w:val="24"/>
        </w:rPr>
        <w:t xml:space="preserve">norm.  </w:t>
      </w:r>
    </w:p>
    <w:p w14:paraId="614FC61B" w14:textId="77777777" w:rsidR="00B859CC" w:rsidRPr="00816DDD" w:rsidRDefault="00B859CC" w:rsidP="00B859CC">
      <w:pPr>
        <w:widowControl w:val="0"/>
        <w:spacing w:after="0" w:line="240" w:lineRule="auto"/>
        <w:rPr>
          <w:sz w:val="20"/>
          <w:szCs w:val="20"/>
        </w:rPr>
      </w:pPr>
    </w:p>
    <w:p w14:paraId="4C6FF032" w14:textId="69690AB9" w:rsidR="00B859CC" w:rsidRPr="00816DDD" w:rsidRDefault="00B859CC" w:rsidP="00B859CC">
      <w:pPr>
        <w:widowControl w:val="0"/>
        <w:spacing w:after="0" w:line="240" w:lineRule="auto"/>
        <w:rPr>
          <w:szCs w:val="24"/>
          <w:shd w:val="clear" w:color="auto" w:fill="FFFFFF"/>
        </w:rPr>
      </w:pPr>
      <w:r w:rsidRPr="00816DDD">
        <w:rPr>
          <w:rFonts w:hint="cs"/>
          <w:szCs w:val="24"/>
        </w:rPr>
        <w:t>News organizations, financial websites, the Bank of Canada, and other organizations distribute these exchange rate quotes to the public and often add their daily, monthly, and yearly trend data.  Quotes are average dealer prices</w:t>
      </w:r>
      <w:r w:rsidR="00AA0B27">
        <w:rPr>
          <w:szCs w:val="24"/>
        </w:rPr>
        <w:t>,</w:t>
      </w:r>
      <w:r w:rsidRPr="00816DDD">
        <w:rPr>
          <w:rFonts w:hint="cs"/>
          <w:szCs w:val="24"/>
        </w:rPr>
        <w:t xml:space="preserve"> so they </w:t>
      </w:r>
      <w:r w:rsidRPr="00816DDD">
        <w:rPr>
          <w:rFonts w:hint="cs"/>
          <w:szCs w:val="24"/>
          <w:shd w:val="clear" w:color="auto" w:fill="FFFFFF"/>
        </w:rPr>
        <w:t xml:space="preserve">do not reflect the rates at which actual currencies </w:t>
      </w:r>
      <w:r w:rsidR="00487DB6" w:rsidRPr="00816DDD">
        <w:rPr>
          <w:szCs w:val="24"/>
          <w:shd w:val="clear" w:color="auto" w:fill="FFFFFF"/>
        </w:rPr>
        <w:t>are traded</w:t>
      </w:r>
      <w:r w:rsidRPr="00816DDD">
        <w:rPr>
          <w:rFonts w:hint="cs"/>
          <w:szCs w:val="24"/>
          <w:shd w:val="clear" w:color="auto" w:fill="FFFFFF"/>
        </w:rPr>
        <w:t xml:space="preserve"> or could be traded.  Companies should refer to the bid-ask quotations supplied by each </w:t>
      </w:r>
      <w:r w:rsidR="00D93ECD" w:rsidRPr="00816DDD">
        <w:rPr>
          <w:szCs w:val="24"/>
          <w:shd w:val="clear" w:color="auto" w:fill="FFFFFF"/>
        </w:rPr>
        <w:t xml:space="preserve">reporting </w:t>
      </w:r>
      <w:r w:rsidRPr="00816DDD">
        <w:rPr>
          <w:rFonts w:hint="cs"/>
          <w:szCs w:val="24"/>
          <w:shd w:val="clear" w:color="auto" w:fill="FFFFFF"/>
        </w:rPr>
        <w:t>dealer for exact pricing information.</w:t>
      </w:r>
    </w:p>
    <w:p w14:paraId="7D5E87B3" w14:textId="77777777" w:rsidR="00B859CC" w:rsidRPr="00816DDD" w:rsidRDefault="00B859CC" w:rsidP="00B859CC">
      <w:pPr>
        <w:widowControl w:val="0"/>
        <w:spacing w:after="0" w:line="240" w:lineRule="auto"/>
        <w:rPr>
          <w:szCs w:val="24"/>
        </w:rPr>
      </w:pPr>
    </w:p>
    <w:p w14:paraId="2E88E08E" w14:textId="77777777" w:rsidR="00B859CC" w:rsidRPr="00816DDD" w:rsidRDefault="00B859CC" w:rsidP="00B859CC">
      <w:pPr>
        <w:widowControl w:val="0"/>
        <w:spacing w:after="0" w:line="240" w:lineRule="auto"/>
        <w:rPr>
          <w:b/>
          <w:szCs w:val="24"/>
        </w:rPr>
      </w:pPr>
      <w:r w:rsidRPr="00816DDD">
        <w:rPr>
          <w:rFonts w:hint="cs"/>
          <w:b/>
          <w:szCs w:val="24"/>
        </w:rPr>
        <w:t>Spot Rates</w:t>
      </w:r>
    </w:p>
    <w:p w14:paraId="541B6B3F" w14:textId="77777777" w:rsidR="00B859CC" w:rsidRPr="00816DDD" w:rsidRDefault="00B859CC" w:rsidP="00B859CC">
      <w:pPr>
        <w:widowControl w:val="0"/>
        <w:spacing w:after="0" w:line="240" w:lineRule="auto"/>
        <w:rPr>
          <w:szCs w:val="24"/>
        </w:rPr>
      </w:pPr>
    </w:p>
    <w:p w14:paraId="7BC4F82E" w14:textId="35035903" w:rsidR="00A722B2" w:rsidRDefault="00B859CC" w:rsidP="000821AE">
      <w:pPr>
        <w:widowControl w:val="0"/>
        <w:spacing w:after="0" w:line="240" w:lineRule="auto"/>
        <w:rPr>
          <w:bCs/>
          <w:szCs w:val="24"/>
        </w:rPr>
      </w:pPr>
      <w:r w:rsidRPr="00816DDD">
        <w:rPr>
          <w:rFonts w:hint="cs"/>
          <w:szCs w:val="24"/>
        </w:rPr>
        <w:t xml:space="preserve">The spot rate is the price </w:t>
      </w:r>
      <w:r w:rsidR="00AA0B27">
        <w:rPr>
          <w:szCs w:val="24"/>
        </w:rPr>
        <w:t>at which</w:t>
      </w:r>
      <w:r w:rsidRPr="00816DDD">
        <w:rPr>
          <w:rFonts w:hint="cs"/>
          <w:szCs w:val="24"/>
        </w:rPr>
        <w:t xml:space="preserve"> a pair of currencies </w:t>
      </w:r>
      <w:proofErr w:type="gramStart"/>
      <w:r w:rsidR="005E1FA3">
        <w:rPr>
          <w:szCs w:val="24"/>
        </w:rPr>
        <w:t>trades</w:t>
      </w:r>
      <w:proofErr w:type="gramEnd"/>
      <w:r w:rsidRPr="00816DDD">
        <w:rPr>
          <w:rFonts w:hint="cs"/>
          <w:szCs w:val="24"/>
        </w:rPr>
        <w:t xml:space="preserve"> today</w:t>
      </w:r>
      <w:r w:rsidR="00884489" w:rsidRPr="00816DDD">
        <w:rPr>
          <w:szCs w:val="24"/>
        </w:rPr>
        <w:t xml:space="preserve">. </w:t>
      </w:r>
      <w:r w:rsidR="00F83AD1" w:rsidRPr="00816DDD">
        <w:rPr>
          <w:szCs w:val="24"/>
        </w:rPr>
        <w:t xml:space="preserve"> </w:t>
      </w:r>
      <w:r w:rsidR="00884489" w:rsidRPr="00816DDD">
        <w:rPr>
          <w:bCs/>
          <w:szCs w:val="24"/>
        </w:rPr>
        <w:t>A s</w:t>
      </w:r>
      <w:r w:rsidR="00884489" w:rsidRPr="00816DDD">
        <w:rPr>
          <w:rFonts w:hint="cs"/>
          <w:bCs/>
          <w:szCs w:val="24"/>
        </w:rPr>
        <w:t>pot trade</w:t>
      </w:r>
      <w:r w:rsidR="00884489" w:rsidRPr="00816DDD">
        <w:rPr>
          <w:bCs/>
          <w:szCs w:val="24"/>
        </w:rPr>
        <w:t xml:space="preserve"> </w:t>
      </w:r>
      <w:r w:rsidR="00884489" w:rsidRPr="00816DDD">
        <w:rPr>
          <w:rFonts w:hint="cs"/>
          <w:bCs/>
          <w:spacing w:val="-3"/>
          <w:szCs w:val="24"/>
          <w:shd w:val="clear" w:color="auto" w:fill="FFFFFF"/>
        </w:rPr>
        <w:t xml:space="preserve">is an agreement between two counterparties to immediately exchange specified amounts of two currencies at the prevailing spot rate. </w:t>
      </w:r>
      <w:r w:rsidR="00884489" w:rsidRPr="00816DDD">
        <w:rPr>
          <w:rFonts w:hint="cs"/>
          <w:bCs/>
          <w:szCs w:val="24"/>
        </w:rPr>
        <w:t xml:space="preserve"> </w:t>
      </w:r>
      <w:r w:rsidR="00884489" w:rsidRPr="00816DDD">
        <w:rPr>
          <w:rFonts w:hint="cs"/>
          <w:bCs/>
          <w:spacing w:val="-3"/>
          <w:szCs w:val="24"/>
          <w:shd w:val="clear" w:color="auto" w:fill="FFFFFF"/>
        </w:rPr>
        <w:t xml:space="preserve">Spot trades are </w:t>
      </w:r>
      <w:r w:rsidR="00884489" w:rsidRPr="00816DDD">
        <w:rPr>
          <w:bCs/>
          <w:spacing w:val="-3"/>
          <w:szCs w:val="24"/>
          <w:shd w:val="clear" w:color="auto" w:fill="FFFFFF"/>
        </w:rPr>
        <w:t xml:space="preserve">settled, </w:t>
      </w:r>
      <w:r w:rsidR="00884489" w:rsidRPr="00816DDD">
        <w:rPr>
          <w:rFonts w:hint="cs"/>
          <w:bCs/>
          <w:spacing w:val="-3"/>
          <w:szCs w:val="24"/>
          <w:shd w:val="clear" w:color="auto" w:fill="FFFFFF"/>
        </w:rPr>
        <w:t xml:space="preserve">and the currency </w:t>
      </w:r>
      <w:r w:rsidR="00F83AD1" w:rsidRPr="00816DDD">
        <w:rPr>
          <w:bCs/>
          <w:spacing w:val="-3"/>
          <w:szCs w:val="24"/>
          <w:shd w:val="clear" w:color="auto" w:fill="FFFFFF"/>
        </w:rPr>
        <w:t xml:space="preserve">is </w:t>
      </w:r>
      <w:r w:rsidR="00884489" w:rsidRPr="00816DDD">
        <w:rPr>
          <w:rFonts w:hint="cs"/>
          <w:bCs/>
          <w:spacing w:val="-3"/>
          <w:szCs w:val="24"/>
          <w:shd w:val="clear" w:color="auto" w:fill="FFFFFF"/>
        </w:rPr>
        <w:t>delivered within two days</w:t>
      </w:r>
      <w:r w:rsidR="00884489" w:rsidRPr="00816DDD">
        <w:rPr>
          <w:bCs/>
          <w:spacing w:val="-3"/>
          <w:szCs w:val="24"/>
          <w:shd w:val="clear" w:color="auto" w:fill="FFFFFF"/>
        </w:rPr>
        <w:t xml:space="preserve"> or </w:t>
      </w:r>
      <w:r w:rsidR="00AA0B27">
        <w:rPr>
          <w:bCs/>
          <w:spacing w:val="-3"/>
          <w:szCs w:val="24"/>
          <w:shd w:val="clear" w:color="auto" w:fill="FFFFFF"/>
        </w:rPr>
        <w:t>T+2</w:t>
      </w:r>
      <w:r w:rsidR="00884489" w:rsidRPr="00816DDD">
        <w:rPr>
          <w:rFonts w:hint="cs"/>
          <w:bCs/>
          <w:spacing w:val="-3"/>
          <w:szCs w:val="24"/>
          <w:shd w:val="clear" w:color="auto" w:fill="FFFFFF"/>
        </w:rPr>
        <w:t>, but this may occur faster for some currency pairs</w:t>
      </w:r>
      <w:r w:rsidR="00884489" w:rsidRPr="00816DDD">
        <w:rPr>
          <w:bCs/>
          <w:spacing w:val="-3"/>
          <w:szCs w:val="24"/>
          <w:shd w:val="clear" w:color="auto" w:fill="FFFFFF"/>
        </w:rPr>
        <w:t xml:space="preserve">.  </w:t>
      </w:r>
      <w:r w:rsidR="00884489" w:rsidRPr="00816DDD">
        <w:rPr>
          <w:rFonts w:hint="cs"/>
          <w:bCs/>
          <w:szCs w:val="24"/>
        </w:rPr>
        <w:t xml:space="preserve">Settlement is T+1 for the CAD/USD because of the </w:t>
      </w:r>
      <w:r w:rsidR="00884489" w:rsidRPr="00816DDD">
        <w:rPr>
          <w:bCs/>
          <w:szCs w:val="24"/>
        </w:rPr>
        <w:t xml:space="preserve">high </w:t>
      </w:r>
      <w:r w:rsidR="00884489" w:rsidRPr="00816DDD">
        <w:rPr>
          <w:rFonts w:hint="cs"/>
          <w:bCs/>
          <w:szCs w:val="24"/>
        </w:rPr>
        <w:t>liquidity or size of the market.</w:t>
      </w:r>
    </w:p>
    <w:p w14:paraId="40067606" w14:textId="77777777" w:rsidR="000821AE" w:rsidRPr="000821AE" w:rsidRDefault="000821AE" w:rsidP="000821AE">
      <w:pPr>
        <w:widowControl w:val="0"/>
        <w:spacing w:after="0" w:line="240" w:lineRule="auto"/>
        <w:rPr>
          <w:bCs/>
          <w:szCs w:val="24"/>
        </w:rPr>
      </w:pPr>
    </w:p>
    <w:p w14:paraId="4CDDEA09" w14:textId="77777777" w:rsidR="00F21269" w:rsidRDefault="00F21269">
      <w:pPr>
        <w:rPr>
          <w:b/>
          <w:sz w:val="16"/>
          <w:szCs w:val="16"/>
        </w:rPr>
      </w:pPr>
      <w:r>
        <w:rPr>
          <w:b/>
          <w:sz w:val="16"/>
          <w:szCs w:val="16"/>
        </w:rPr>
        <w:br w:type="page"/>
      </w:r>
    </w:p>
    <w:p w14:paraId="706E2EB5" w14:textId="2C0B52D7" w:rsidR="00B859CC" w:rsidRPr="00231EA4" w:rsidRDefault="00B859CC" w:rsidP="00B859CC">
      <w:pPr>
        <w:widowControl w:val="0"/>
        <w:spacing w:after="0" w:line="240" w:lineRule="auto"/>
        <w:jc w:val="center"/>
        <w:rPr>
          <w:b/>
          <w:sz w:val="20"/>
          <w:szCs w:val="20"/>
        </w:rPr>
      </w:pPr>
      <w:r w:rsidRPr="00231EA4">
        <w:rPr>
          <w:rFonts w:hint="cs"/>
          <w:b/>
          <w:sz w:val="20"/>
          <w:szCs w:val="20"/>
        </w:rPr>
        <w:lastRenderedPageBreak/>
        <w:t xml:space="preserve">Exhibit </w:t>
      </w:r>
      <w:r w:rsidR="00024B00" w:rsidRPr="00231EA4">
        <w:rPr>
          <w:b/>
          <w:sz w:val="20"/>
          <w:szCs w:val="20"/>
        </w:rPr>
        <w:t>5</w:t>
      </w:r>
      <w:r w:rsidRPr="00231EA4">
        <w:rPr>
          <w:rFonts w:hint="cs"/>
          <w:b/>
          <w:sz w:val="20"/>
          <w:szCs w:val="20"/>
        </w:rPr>
        <w:t>: Spot Rate Quotations</w:t>
      </w:r>
    </w:p>
    <w:p w14:paraId="4E02CE76" w14:textId="77777777" w:rsidR="00B859CC" w:rsidRPr="00816DDD" w:rsidRDefault="00B859CC" w:rsidP="00B859CC">
      <w:pPr>
        <w:widowControl w:val="0"/>
        <w:spacing w:after="0" w:line="240" w:lineRule="auto"/>
        <w:rPr>
          <w:b/>
          <w:sz w:val="16"/>
          <w:szCs w:val="16"/>
        </w:rPr>
      </w:pPr>
    </w:p>
    <w:tbl>
      <w:tblPr>
        <w:tblStyle w:val="TableGrid"/>
        <w:tblW w:w="10170" w:type="dxa"/>
        <w:tblInd w:w="-5" w:type="dxa"/>
        <w:tblLayout w:type="fixed"/>
        <w:tblLook w:val="04A0" w:firstRow="1" w:lastRow="0" w:firstColumn="1" w:lastColumn="0" w:noHBand="0" w:noVBand="1"/>
      </w:tblPr>
      <w:tblGrid>
        <w:gridCol w:w="1464"/>
        <w:gridCol w:w="941"/>
        <w:gridCol w:w="925"/>
        <w:gridCol w:w="900"/>
        <w:gridCol w:w="990"/>
        <w:gridCol w:w="990"/>
        <w:gridCol w:w="990"/>
        <w:gridCol w:w="990"/>
        <w:gridCol w:w="990"/>
        <w:gridCol w:w="990"/>
      </w:tblGrid>
      <w:tr w:rsidR="00816DDD" w:rsidRPr="00816DDD" w14:paraId="131E0042" w14:textId="77777777" w:rsidTr="005328BD">
        <w:tc>
          <w:tcPr>
            <w:tcW w:w="1464" w:type="dxa"/>
          </w:tcPr>
          <w:p w14:paraId="5CB776AF" w14:textId="77777777" w:rsidR="00B859CC" w:rsidRPr="00816DDD" w:rsidRDefault="00B859CC" w:rsidP="00B859CC">
            <w:pPr>
              <w:widowControl w:val="0"/>
              <w:ind w:hanging="15"/>
              <w:contextualSpacing/>
              <w:rPr>
                <w:sz w:val="16"/>
                <w:szCs w:val="16"/>
              </w:rPr>
            </w:pPr>
          </w:p>
        </w:tc>
        <w:tc>
          <w:tcPr>
            <w:tcW w:w="941" w:type="dxa"/>
          </w:tcPr>
          <w:p w14:paraId="0550EE0C" w14:textId="77777777" w:rsidR="00B859CC" w:rsidRPr="00816DDD" w:rsidRDefault="00B859CC" w:rsidP="00B859CC">
            <w:pPr>
              <w:widowControl w:val="0"/>
              <w:contextualSpacing/>
              <w:jc w:val="center"/>
              <w:rPr>
                <w:b/>
                <w:sz w:val="16"/>
                <w:szCs w:val="16"/>
              </w:rPr>
            </w:pPr>
            <w:r w:rsidRPr="00816DDD">
              <w:rPr>
                <w:rFonts w:hint="cs"/>
                <w:b/>
                <w:sz w:val="16"/>
                <w:szCs w:val="16"/>
              </w:rPr>
              <w:t>CAD/USD</w:t>
            </w:r>
          </w:p>
        </w:tc>
        <w:tc>
          <w:tcPr>
            <w:tcW w:w="925" w:type="dxa"/>
          </w:tcPr>
          <w:p w14:paraId="0CC8E701" w14:textId="77777777" w:rsidR="00B859CC" w:rsidRPr="00816DDD" w:rsidRDefault="00B859CC" w:rsidP="00B859CC">
            <w:pPr>
              <w:widowControl w:val="0"/>
              <w:contextualSpacing/>
              <w:jc w:val="center"/>
              <w:rPr>
                <w:b/>
                <w:sz w:val="16"/>
                <w:szCs w:val="16"/>
              </w:rPr>
            </w:pPr>
            <w:r w:rsidRPr="00816DDD">
              <w:rPr>
                <w:rFonts w:hint="cs"/>
                <w:b/>
                <w:sz w:val="16"/>
                <w:szCs w:val="16"/>
              </w:rPr>
              <w:t>USD/EUR</w:t>
            </w:r>
          </w:p>
        </w:tc>
        <w:tc>
          <w:tcPr>
            <w:tcW w:w="900" w:type="dxa"/>
          </w:tcPr>
          <w:p w14:paraId="1252BE06" w14:textId="77777777" w:rsidR="00B859CC" w:rsidRPr="00816DDD" w:rsidRDefault="00B859CC" w:rsidP="00B859CC">
            <w:pPr>
              <w:widowControl w:val="0"/>
              <w:ind w:right="-105" w:hanging="14"/>
              <w:contextualSpacing/>
              <w:jc w:val="center"/>
              <w:rPr>
                <w:b/>
                <w:sz w:val="16"/>
                <w:szCs w:val="16"/>
              </w:rPr>
            </w:pPr>
            <w:r w:rsidRPr="00816DDD">
              <w:rPr>
                <w:rFonts w:hint="cs"/>
                <w:b/>
                <w:sz w:val="16"/>
                <w:szCs w:val="16"/>
              </w:rPr>
              <w:t>USD/GBP</w:t>
            </w:r>
          </w:p>
        </w:tc>
        <w:tc>
          <w:tcPr>
            <w:tcW w:w="990" w:type="dxa"/>
          </w:tcPr>
          <w:p w14:paraId="0B50A98D" w14:textId="77777777" w:rsidR="00B859CC" w:rsidRPr="00816DDD" w:rsidRDefault="00B859CC" w:rsidP="00B859CC">
            <w:pPr>
              <w:widowControl w:val="0"/>
              <w:ind w:left="-14"/>
              <w:contextualSpacing/>
              <w:jc w:val="center"/>
              <w:rPr>
                <w:b/>
                <w:sz w:val="16"/>
                <w:szCs w:val="16"/>
              </w:rPr>
            </w:pPr>
            <w:r w:rsidRPr="00816DDD">
              <w:rPr>
                <w:rFonts w:hint="cs"/>
                <w:b/>
                <w:sz w:val="16"/>
                <w:szCs w:val="16"/>
              </w:rPr>
              <w:t>JPY/USD</w:t>
            </w:r>
          </w:p>
        </w:tc>
        <w:tc>
          <w:tcPr>
            <w:tcW w:w="990" w:type="dxa"/>
          </w:tcPr>
          <w:p w14:paraId="308530A2" w14:textId="77777777" w:rsidR="00B859CC" w:rsidRPr="00816DDD" w:rsidRDefault="00B859CC" w:rsidP="00B859CC">
            <w:pPr>
              <w:widowControl w:val="0"/>
              <w:ind w:left="-14"/>
              <w:contextualSpacing/>
              <w:jc w:val="center"/>
              <w:rPr>
                <w:b/>
                <w:sz w:val="16"/>
                <w:szCs w:val="16"/>
              </w:rPr>
            </w:pPr>
            <w:r w:rsidRPr="00816DDD">
              <w:rPr>
                <w:rFonts w:hint="cs"/>
                <w:b/>
                <w:sz w:val="16"/>
                <w:szCs w:val="16"/>
              </w:rPr>
              <w:t>MXN/USD</w:t>
            </w:r>
          </w:p>
        </w:tc>
        <w:tc>
          <w:tcPr>
            <w:tcW w:w="990" w:type="dxa"/>
          </w:tcPr>
          <w:p w14:paraId="00A7895A" w14:textId="77777777" w:rsidR="00B859CC" w:rsidRPr="00816DDD" w:rsidRDefault="00B859CC" w:rsidP="00B859CC">
            <w:pPr>
              <w:widowControl w:val="0"/>
              <w:ind w:left="-14"/>
              <w:contextualSpacing/>
              <w:jc w:val="center"/>
              <w:rPr>
                <w:b/>
                <w:sz w:val="16"/>
                <w:szCs w:val="16"/>
              </w:rPr>
            </w:pPr>
            <w:r w:rsidRPr="00816DDD">
              <w:rPr>
                <w:rFonts w:hint="cs"/>
                <w:b/>
                <w:sz w:val="16"/>
                <w:szCs w:val="16"/>
              </w:rPr>
              <w:t>CHF/USD</w:t>
            </w:r>
          </w:p>
        </w:tc>
        <w:tc>
          <w:tcPr>
            <w:tcW w:w="990" w:type="dxa"/>
          </w:tcPr>
          <w:p w14:paraId="364CF4A6" w14:textId="77777777" w:rsidR="00B859CC" w:rsidRPr="00816DDD" w:rsidRDefault="00B859CC" w:rsidP="00B859CC">
            <w:pPr>
              <w:widowControl w:val="0"/>
              <w:ind w:left="-14"/>
              <w:contextualSpacing/>
              <w:jc w:val="center"/>
              <w:rPr>
                <w:b/>
                <w:sz w:val="16"/>
                <w:szCs w:val="16"/>
              </w:rPr>
            </w:pPr>
            <w:r w:rsidRPr="00816DDD">
              <w:rPr>
                <w:rFonts w:hint="cs"/>
                <w:b/>
                <w:sz w:val="16"/>
                <w:szCs w:val="16"/>
              </w:rPr>
              <w:t>USD/AUD</w:t>
            </w:r>
          </w:p>
        </w:tc>
        <w:tc>
          <w:tcPr>
            <w:tcW w:w="990" w:type="dxa"/>
          </w:tcPr>
          <w:p w14:paraId="41524B90" w14:textId="77777777" w:rsidR="00B859CC" w:rsidRPr="00816DDD" w:rsidRDefault="00B859CC" w:rsidP="00B859CC">
            <w:pPr>
              <w:widowControl w:val="0"/>
              <w:contextualSpacing/>
              <w:jc w:val="center"/>
              <w:rPr>
                <w:b/>
                <w:sz w:val="16"/>
                <w:szCs w:val="16"/>
              </w:rPr>
            </w:pPr>
            <w:r w:rsidRPr="00816DDD">
              <w:rPr>
                <w:rFonts w:hint="cs"/>
                <w:b/>
                <w:sz w:val="16"/>
                <w:szCs w:val="16"/>
              </w:rPr>
              <w:t>CNY/USD</w:t>
            </w:r>
          </w:p>
        </w:tc>
        <w:tc>
          <w:tcPr>
            <w:tcW w:w="990" w:type="dxa"/>
          </w:tcPr>
          <w:p w14:paraId="0D29AEA7" w14:textId="77777777" w:rsidR="00B859CC" w:rsidRPr="00816DDD" w:rsidRDefault="00B859CC" w:rsidP="00B859CC">
            <w:pPr>
              <w:widowControl w:val="0"/>
              <w:ind w:left="-14"/>
              <w:contextualSpacing/>
              <w:jc w:val="center"/>
              <w:rPr>
                <w:b/>
                <w:sz w:val="16"/>
                <w:szCs w:val="16"/>
              </w:rPr>
            </w:pPr>
            <w:r w:rsidRPr="00816DDD">
              <w:rPr>
                <w:rFonts w:hint="cs"/>
                <w:b/>
                <w:sz w:val="16"/>
                <w:szCs w:val="16"/>
              </w:rPr>
              <w:t>USD/NZD</w:t>
            </w:r>
          </w:p>
        </w:tc>
      </w:tr>
      <w:tr w:rsidR="00816DDD" w:rsidRPr="00816DDD" w14:paraId="4B8C8D5C" w14:textId="77777777" w:rsidTr="005328BD">
        <w:tc>
          <w:tcPr>
            <w:tcW w:w="1464" w:type="dxa"/>
          </w:tcPr>
          <w:p w14:paraId="00FC9150" w14:textId="77777777" w:rsidR="00B859CC" w:rsidRPr="00816DDD" w:rsidRDefault="00B859CC" w:rsidP="00B859CC">
            <w:pPr>
              <w:widowControl w:val="0"/>
              <w:ind w:hanging="15"/>
              <w:contextualSpacing/>
              <w:rPr>
                <w:b/>
                <w:sz w:val="16"/>
                <w:szCs w:val="16"/>
              </w:rPr>
            </w:pPr>
            <w:r w:rsidRPr="00816DDD">
              <w:rPr>
                <w:rFonts w:hint="cs"/>
                <w:b/>
                <w:sz w:val="16"/>
                <w:szCs w:val="16"/>
              </w:rPr>
              <w:t>Today</w:t>
            </w:r>
          </w:p>
        </w:tc>
        <w:tc>
          <w:tcPr>
            <w:tcW w:w="941" w:type="dxa"/>
          </w:tcPr>
          <w:p w14:paraId="745F596A" w14:textId="77777777" w:rsidR="00B859CC" w:rsidRPr="00816DDD" w:rsidRDefault="00B859CC" w:rsidP="00B859CC">
            <w:pPr>
              <w:widowControl w:val="0"/>
              <w:contextualSpacing/>
              <w:jc w:val="right"/>
              <w:rPr>
                <w:sz w:val="16"/>
                <w:szCs w:val="16"/>
              </w:rPr>
            </w:pPr>
            <w:r w:rsidRPr="00816DDD">
              <w:rPr>
                <w:rFonts w:hint="cs"/>
                <w:sz w:val="16"/>
                <w:szCs w:val="16"/>
              </w:rPr>
              <w:t>1.2486</w:t>
            </w:r>
          </w:p>
        </w:tc>
        <w:tc>
          <w:tcPr>
            <w:tcW w:w="925" w:type="dxa"/>
          </w:tcPr>
          <w:p w14:paraId="08F62FEC" w14:textId="77777777" w:rsidR="00B859CC" w:rsidRPr="00816DDD" w:rsidRDefault="00B859CC" w:rsidP="00B859CC">
            <w:pPr>
              <w:widowControl w:val="0"/>
              <w:contextualSpacing/>
              <w:jc w:val="right"/>
              <w:rPr>
                <w:sz w:val="16"/>
                <w:szCs w:val="16"/>
              </w:rPr>
            </w:pPr>
            <w:r w:rsidRPr="00816DDD">
              <w:rPr>
                <w:rFonts w:hint="cs"/>
                <w:sz w:val="16"/>
                <w:szCs w:val="16"/>
              </w:rPr>
              <w:t>1.2074</w:t>
            </w:r>
          </w:p>
        </w:tc>
        <w:tc>
          <w:tcPr>
            <w:tcW w:w="900" w:type="dxa"/>
          </w:tcPr>
          <w:p w14:paraId="67992BDA" w14:textId="77777777" w:rsidR="00B859CC" w:rsidRPr="00816DDD" w:rsidRDefault="00B859CC" w:rsidP="00B859CC">
            <w:pPr>
              <w:widowControl w:val="0"/>
              <w:ind w:left="-14"/>
              <w:contextualSpacing/>
              <w:jc w:val="right"/>
              <w:rPr>
                <w:sz w:val="16"/>
                <w:szCs w:val="16"/>
              </w:rPr>
            </w:pPr>
            <w:r w:rsidRPr="00816DDD">
              <w:rPr>
                <w:rFonts w:hint="cs"/>
                <w:sz w:val="16"/>
                <w:szCs w:val="16"/>
              </w:rPr>
              <w:t>1.38775</w:t>
            </w:r>
          </w:p>
        </w:tc>
        <w:tc>
          <w:tcPr>
            <w:tcW w:w="990" w:type="dxa"/>
          </w:tcPr>
          <w:p w14:paraId="7A343018" w14:textId="77777777" w:rsidR="00B859CC" w:rsidRPr="00816DDD" w:rsidRDefault="00B859CC" w:rsidP="00B859CC">
            <w:pPr>
              <w:widowControl w:val="0"/>
              <w:ind w:left="-14"/>
              <w:contextualSpacing/>
              <w:jc w:val="right"/>
              <w:rPr>
                <w:sz w:val="16"/>
                <w:szCs w:val="16"/>
              </w:rPr>
            </w:pPr>
            <w:r w:rsidRPr="00816DDD">
              <w:rPr>
                <w:rFonts w:hint="cs"/>
                <w:sz w:val="16"/>
                <w:szCs w:val="16"/>
              </w:rPr>
              <w:t>107.555</w:t>
            </w:r>
          </w:p>
        </w:tc>
        <w:tc>
          <w:tcPr>
            <w:tcW w:w="990" w:type="dxa"/>
          </w:tcPr>
          <w:p w14:paraId="3F260A1F" w14:textId="77777777" w:rsidR="00B859CC" w:rsidRPr="00816DDD" w:rsidRDefault="00B859CC" w:rsidP="00B859CC">
            <w:pPr>
              <w:widowControl w:val="0"/>
              <w:ind w:left="-14"/>
              <w:contextualSpacing/>
              <w:jc w:val="right"/>
              <w:rPr>
                <w:sz w:val="16"/>
                <w:szCs w:val="16"/>
              </w:rPr>
            </w:pPr>
            <w:r w:rsidRPr="00816DDD">
              <w:rPr>
                <w:rFonts w:hint="cs"/>
                <w:sz w:val="16"/>
                <w:szCs w:val="16"/>
              </w:rPr>
              <w:t>19.837</w:t>
            </w:r>
          </w:p>
        </w:tc>
        <w:tc>
          <w:tcPr>
            <w:tcW w:w="990" w:type="dxa"/>
          </w:tcPr>
          <w:p w14:paraId="315F156A" w14:textId="77777777" w:rsidR="00B859CC" w:rsidRPr="00816DDD" w:rsidRDefault="00B859CC" w:rsidP="00B859CC">
            <w:pPr>
              <w:widowControl w:val="0"/>
              <w:ind w:left="-14"/>
              <w:contextualSpacing/>
              <w:jc w:val="right"/>
              <w:rPr>
                <w:sz w:val="16"/>
                <w:szCs w:val="16"/>
              </w:rPr>
            </w:pPr>
            <w:r w:rsidRPr="00816DDD">
              <w:rPr>
                <w:rFonts w:hint="cs"/>
                <w:sz w:val="16"/>
                <w:szCs w:val="16"/>
              </w:rPr>
              <w:t>0.9147</w:t>
            </w:r>
          </w:p>
        </w:tc>
        <w:tc>
          <w:tcPr>
            <w:tcW w:w="990" w:type="dxa"/>
          </w:tcPr>
          <w:p w14:paraId="27C5484B" w14:textId="77777777" w:rsidR="00B859CC" w:rsidRPr="00816DDD" w:rsidRDefault="00B859CC" w:rsidP="00B859CC">
            <w:pPr>
              <w:widowControl w:val="0"/>
              <w:ind w:left="-14"/>
              <w:contextualSpacing/>
              <w:jc w:val="right"/>
              <w:rPr>
                <w:sz w:val="16"/>
                <w:szCs w:val="16"/>
              </w:rPr>
            </w:pPr>
            <w:r w:rsidRPr="00816DDD">
              <w:rPr>
                <w:rFonts w:hint="cs"/>
                <w:sz w:val="16"/>
                <w:szCs w:val="16"/>
              </w:rPr>
              <w:t>0.7743</w:t>
            </w:r>
          </w:p>
        </w:tc>
        <w:tc>
          <w:tcPr>
            <w:tcW w:w="990" w:type="dxa"/>
          </w:tcPr>
          <w:p w14:paraId="56733558" w14:textId="77777777" w:rsidR="00B859CC" w:rsidRPr="00816DDD" w:rsidRDefault="00B859CC" w:rsidP="00B859CC">
            <w:pPr>
              <w:widowControl w:val="0"/>
              <w:ind w:left="16"/>
              <w:contextualSpacing/>
              <w:jc w:val="right"/>
              <w:rPr>
                <w:sz w:val="16"/>
                <w:szCs w:val="16"/>
              </w:rPr>
            </w:pPr>
            <w:r w:rsidRPr="00816DDD">
              <w:rPr>
                <w:rFonts w:hint="cs"/>
                <w:sz w:val="16"/>
                <w:szCs w:val="16"/>
              </w:rPr>
              <w:t>6.4894</w:t>
            </w:r>
          </w:p>
        </w:tc>
        <w:tc>
          <w:tcPr>
            <w:tcW w:w="990" w:type="dxa"/>
          </w:tcPr>
          <w:p w14:paraId="1CD2517B" w14:textId="77777777" w:rsidR="00B859CC" w:rsidRPr="00816DDD" w:rsidRDefault="00B859CC" w:rsidP="00B859CC">
            <w:pPr>
              <w:widowControl w:val="0"/>
              <w:ind w:left="-14"/>
              <w:contextualSpacing/>
              <w:jc w:val="right"/>
              <w:rPr>
                <w:sz w:val="16"/>
                <w:szCs w:val="16"/>
              </w:rPr>
            </w:pPr>
            <w:r w:rsidRPr="00816DDD">
              <w:rPr>
                <w:rFonts w:hint="cs"/>
                <w:sz w:val="16"/>
                <w:szCs w:val="16"/>
              </w:rPr>
              <w:t>0.7185</w:t>
            </w:r>
          </w:p>
        </w:tc>
      </w:tr>
      <w:tr w:rsidR="00816DDD" w:rsidRPr="00816DDD" w14:paraId="42D916E7" w14:textId="77777777" w:rsidTr="005328BD">
        <w:tc>
          <w:tcPr>
            <w:tcW w:w="1464" w:type="dxa"/>
          </w:tcPr>
          <w:p w14:paraId="6A17ECAB" w14:textId="77777777" w:rsidR="00B859CC" w:rsidRPr="00816DDD" w:rsidRDefault="00B859CC" w:rsidP="00B859CC">
            <w:pPr>
              <w:widowControl w:val="0"/>
              <w:ind w:hanging="15"/>
              <w:contextualSpacing/>
              <w:rPr>
                <w:b/>
                <w:sz w:val="16"/>
                <w:szCs w:val="16"/>
              </w:rPr>
            </w:pPr>
            <w:r w:rsidRPr="00816DDD">
              <w:rPr>
                <w:rFonts w:hint="cs"/>
                <w:b/>
                <w:sz w:val="16"/>
                <w:szCs w:val="16"/>
              </w:rPr>
              <w:t>Week ago</w:t>
            </w:r>
          </w:p>
        </w:tc>
        <w:tc>
          <w:tcPr>
            <w:tcW w:w="941" w:type="dxa"/>
          </w:tcPr>
          <w:p w14:paraId="32DF4BB1" w14:textId="77777777" w:rsidR="00B859CC" w:rsidRPr="00816DDD" w:rsidRDefault="00B859CC" w:rsidP="00B859CC">
            <w:pPr>
              <w:widowControl w:val="0"/>
              <w:contextualSpacing/>
              <w:jc w:val="right"/>
              <w:rPr>
                <w:sz w:val="16"/>
                <w:szCs w:val="16"/>
              </w:rPr>
            </w:pPr>
            <w:r w:rsidRPr="00816DDD">
              <w:rPr>
                <w:rFonts w:hint="cs"/>
                <w:sz w:val="16"/>
                <w:szCs w:val="16"/>
              </w:rPr>
              <w:t>1.2506</w:t>
            </w:r>
          </w:p>
        </w:tc>
        <w:tc>
          <w:tcPr>
            <w:tcW w:w="925" w:type="dxa"/>
          </w:tcPr>
          <w:p w14:paraId="3B678A89" w14:textId="77777777" w:rsidR="00B859CC" w:rsidRPr="00816DDD" w:rsidRDefault="00B859CC" w:rsidP="00B859CC">
            <w:pPr>
              <w:widowControl w:val="0"/>
              <w:contextualSpacing/>
              <w:jc w:val="right"/>
              <w:rPr>
                <w:sz w:val="16"/>
                <w:szCs w:val="16"/>
              </w:rPr>
            </w:pPr>
            <w:r w:rsidRPr="00816DDD">
              <w:rPr>
                <w:rFonts w:hint="cs"/>
                <w:sz w:val="16"/>
                <w:szCs w:val="16"/>
              </w:rPr>
              <w:t>1.1985</w:t>
            </w:r>
          </w:p>
        </w:tc>
        <w:tc>
          <w:tcPr>
            <w:tcW w:w="900" w:type="dxa"/>
          </w:tcPr>
          <w:p w14:paraId="0E3A7D51" w14:textId="77777777" w:rsidR="00B859CC" w:rsidRPr="00816DDD" w:rsidRDefault="00B859CC" w:rsidP="00B859CC">
            <w:pPr>
              <w:widowControl w:val="0"/>
              <w:ind w:left="-14"/>
              <w:contextualSpacing/>
              <w:jc w:val="right"/>
              <w:rPr>
                <w:sz w:val="16"/>
                <w:szCs w:val="16"/>
              </w:rPr>
            </w:pPr>
            <w:r w:rsidRPr="00816DDD">
              <w:rPr>
                <w:rFonts w:hint="cs"/>
                <w:sz w:val="16"/>
                <w:szCs w:val="16"/>
              </w:rPr>
              <w:t>1.38315</w:t>
            </w:r>
          </w:p>
        </w:tc>
        <w:tc>
          <w:tcPr>
            <w:tcW w:w="990" w:type="dxa"/>
          </w:tcPr>
          <w:p w14:paraId="74E65434" w14:textId="77777777" w:rsidR="00B859CC" w:rsidRPr="00816DDD" w:rsidRDefault="00B859CC" w:rsidP="00B859CC">
            <w:pPr>
              <w:widowControl w:val="0"/>
              <w:ind w:left="-14"/>
              <w:contextualSpacing/>
              <w:jc w:val="right"/>
              <w:rPr>
                <w:sz w:val="16"/>
                <w:szCs w:val="16"/>
              </w:rPr>
            </w:pPr>
            <w:r w:rsidRPr="00816DDD">
              <w:rPr>
                <w:rFonts w:hint="cs"/>
                <w:sz w:val="16"/>
                <w:szCs w:val="16"/>
              </w:rPr>
              <w:t>108.785</w:t>
            </w:r>
          </w:p>
        </w:tc>
        <w:tc>
          <w:tcPr>
            <w:tcW w:w="990" w:type="dxa"/>
          </w:tcPr>
          <w:p w14:paraId="43394F8B" w14:textId="77777777" w:rsidR="00B859CC" w:rsidRPr="00816DDD" w:rsidRDefault="00B859CC" w:rsidP="00B859CC">
            <w:pPr>
              <w:widowControl w:val="0"/>
              <w:ind w:left="-14"/>
              <w:contextualSpacing/>
              <w:jc w:val="right"/>
              <w:rPr>
                <w:sz w:val="16"/>
                <w:szCs w:val="16"/>
              </w:rPr>
            </w:pPr>
            <w:r w:rsidRPr="00816DDD">
              <w:rPr>
                <w:rFonts w:hint="cs"/>
                <w:sz w:val="16"/>
                <w:szCs w:val="16"/>
              </w:rPr>
              <w:t>19.932</w:t>
            </w:r>
          </w:p>
        </w:tc>
        <w:tc>
          <w:tcPr>
            <w:tcW w:w="990" w:type="dxa"/>
          </w:tcPr>
          <w:p w14:paraId="08AD5CB1" w14:textId="77777777" w:rsidR="00B859CC" w:rsidRPr="00816DDD" w:rsidRDefault="00B859CC" w:rsidP="00B859CC">
            <w:pPr>
              <w:widowControl w:val="0"/>
              <w:ind w:left="-14"/>
              <w:contextualSpacing/>
              <w:jc w:val="right"/>
              <w:rPr>
                <w:sz w:val="16"/>
                <w:szCs w:val="16"/>
              </w:rPr>
            </w:pPr>
            <w:r w:rsidRPr="00816DDD">
              <w:rPr>
                <w:rFonts w:hint="cs"/>
                <w:sz w:val="16"/>
                <w:szCs w:val="16"/>
              </w:rPr>
              <w:t>0.9202</w:t>
            </w:r>
          </w:p>
        </w:tc>
        <w:tc>
          <w:tcPr>
            <w:tcW w:w="990" w:type="dxa"/>
          </w:tcPr>
          <w:p w14:paraId="7DC9B9EE" w14:textId="77777777" w:rsidR="00B859CC" w:rsidRPr="00816DDD" w:rsidRDefault="00B859CC" w:rsidP="00B859CC">
            <w:pPr>
              <w:widowControl w:val="0"/>
              <w:ind w:left="-14"/>
              <w:contextualSpacing/>
              <w:jc w:val="right"/>
              <w:rPr>
                <w:sz w:val="16"/>
                <w:szCs w:val="16"/>
              </w:rPr>
            </w:pPr>
            <w:r w:rsidRPr="00816DDD">
              <w:rPr>
                <w:rFonts w:hint="cs"/>
                <w:sz w:val="16"/>
                <w:szCs w:val="16"/>
              </w:rPr>
              <w:t>0.7734</w:t>
            </w:r>
          </w:p>
        </w:tc>
        <w:tc>
          <w:tcPr>
            <w:tcW w:w="990" w:type="dxa"/>
          </w:tcPr>
          <w:p w14:paraId="3EEED22D" w14:textId="77777777" w:rsidR="00B859CC" w:rsidRPr="00816DDD" w:rsidRDefault="00B859CC" w:rsidP="00B859CC">
            <w:pPr>
              <w:widowControl w:val="0"/>
              <w:ind w:left="16"/>
              <w:contextualSpacing/>
              <w:jc w:val="right"/>
              <w:rPr>
                <w:sz w:val="16"/>
                <w:szCs w:val="16"/>
              </w:rPr>
            </w:pPr>
            <w:r w:rsidRPr="00816DDD">
              <w:rPr>
                <w:rFonts w:hint="cs"/>
                <w:sz w:val="16"/>
                <w:szCs w:val="16"/>
              </w:rPr>
              <w:t>6.5296</w:t>
            </w:r>
          </w:p>
        </w:tc>
        <w:tc>
          <w:tcPr>
            <w:tcW w:w="990" w:type="dxa"/>
          </w:tcPr>
          <w:p w14:paraId="6B01E5C8" w14:textId="77777777" w:rsidR="00B859CC" w:rsidRPr="00816DDD" w:rsidRDefault="00B859CC" w:rsidP="00B859CC">
            <w:pPr>
              <w:widowControl w:val="0"/>
              <w:ind w:left="-14"/>
              <w:contextualSpacing/>
              <w:jc w:val="right"/>
              <w:rPr>
                <w:sz w:val="16"/>
                <w:szCs w:val="16"/>
              </w:rPr>
            </w:pPr>
            <w:r w:rsidRPr="00816DDD">
              <w:rPr>
                <w:rFonts w:hint="cs"/>
                <w:sz w:val="16"/>
                <w:szCs w:val="16"/>
              </w:rPr>
              <w:t>0.7143</w:t>
            </w:r>
          </w:p>
        </w:tc>
      </w:tr>
      <w:tr w:rsidR="00816DDD" w:rsidRPr="00816DDD" w14:paraId="7EC188E3" w14:textId="77777777" w:rsidTr="005328BD">
        <w:tc>
          <w:tcPr>
            <w:tcW w:w="1464" w:type="dxa"/>
          </w:tcPr>
          <w:p w14:paraId="1D506F77" w14:textId="77777777" w:rsidR="00B859CC" w:rsidRPr="00816DDD" w:rsidRDefault="00B859CC" w:rsidP="00B859CC">
            <w:pPr>
              <w:widowControl w:val="0"/>
              <w:ind w:hanging="15"/>
              <w:contextualSpacing/>
              <w:rPr>
                <w:b/>
                <w:sz w:val="16"/>
                <w:szCs w:val="16"/>
              </w:rPr>
            </w:pPr>
            <w:r w:rsidRPr="00816DDD">
              <w:rPr>
                <w:rFonts w:hint="cs"/>
                <w:b/>
                <w:sz w:val="16"/>
                <w:szCs w:val="16"/>
              </w:rPr>
              <w:t>Four weeks ago</w:t>
            </w:r>
          </w:p>
        </w:tc>
        <w:tc>
          <w:tcPr>
            <w:tcW w:w="941" w:type="dxa"/>
          </w:tcPr>
          <w:p w14:paraId="31D0F003" w14:textId="77777777" w:rsidR="00B859CC" w:rsidRPr="00816DDD" w:rsidRDefault="00B859CC" w:rsidP="00B859CC">
            <w:pPr>
              <w:widowControl w:val="0"/>
              <w:contextualSpacing/>
              <w:jc w:val="right"/>
              <w:rPr>
                <w:sz w:val="16"/>
                <w:szCs w:val="16"/>
              </w:rPr>
            </w:pPr>
            <w:r w:rsidRPr="00816DDD">
              <w:rPr>
                <w:rFonts w:hint="cs"/>
                <w:sz w:val="16"/>
                <w:szCs w:val="16"/>
              </w:rPr>
              <w:t>1.2578</w:t>
            </w:r>
          </w:p>
        </w:tc>
        <w:tc>
          <w:tcPr>
            <w:tcW w:w="925" w:type="dxa"/>
          </w:tcPr>
          <w:p w14:paraId="37947D61" w14:textId="77777777" w:rsidR="00B859CC" w:rsidRPr="00816DDD" w:rsidRDefault="00B859CC" w:rsidP="00B859CC">
            <w:pPr>
              <w:widowControl w:val="0"/>
              <w:contextualSpacing/>
              <w:jc w:val="right"/>
              <w:rPr>
                <w:sz w:val="16"/>
                <w:szCs w:val="16"/>
              </w:rPr>
            </w:pPr>
            <w:r w:rsidRPr="00816DDD">
              <w:rPr>
                <w:rFonts w:hint="cs"/>
                <w:sz w:val="16"/>
                <w:szCs w:val="16"/>
              </w:rPr>
              <w:t>1.1798</w:t>
            </w:r>
          </w:p>
        </w:tc>
        <w:tc>
          <w:tcPr>
            <w:tcW w:w="900" w:type="dxa"/>
          </w:tcPr>
          <w:p w14:paraId="569AC75B" w14:textId="77777777" w:rsidR="00B859CC" w:rsidRPr="00816DDD" w:rsidRDefault="00B859CC" w:rsidP="00B859CC">
            <w:pPr>
              <w:widowControl w:val="0"/>
              <w:ind w:left="-14"/>
              <w:contextualSpacing/>
              <w:jc w:val="right"/>
              <w:rPr>
                <w:sz w:val="16"/>
                <w:szCs w:val="16"/>
              </w:rPr>
            </w:pPr>
            <w:r w:rsidRPr="00816DDD">
              <w:rPr>
                <w:rFonts w:hint="cs"/>
                <w:sz w:val="16"/>
                <w:szCs w:val="16"/>
              </w:rPr>
              <w:t>1.37890</w:t>
            </w:r>
          </w:p>
        </w:tc>
        <w:tc>
          <w:tcPr>
            <w:tcW w:w="990" w:type="dxa"/>
          </w:tcPr>
          <w:p w14:paraId="0ADED517" w14:textId="77777777" w:rsidR="00B859CC" w:rsidRPr="00816DDD" w:rsidRDefault="00B859CC" w:rsidP="00B859CC">
            <w:pPr>
              <w:widowControl w:val="0"/>
              <w:ind w:left="-14"/>
              <w:contextualSpacing/>
              <w:jc w:val="right"/>
              <w:rPr>
                <w:sz w:val="16"/>
                <w:szCs w:val="16"/>
              </w:rPr>
            </w:pPr>
            <w:r w:rsidRPr="00816DDD">
              <w:rPr>
                <w:rFonts w:hint="cs"/>
                <w:sz w:val="16"/>
                <w:szCs w:val="16"/>
              </w:rPr>
              <w:t>108.655</w:t>
            </w:r>
          </w:p>
        </w:tc>
        <w:tc>
          <w:tcPr>
            <w:tcW w:w="990" w:type="dxa"/>
          </w:tcPr>
          <w:p w14:paraId="21A17D78" w14:textId="77777777" w:rsidR="00B859CC" w:rsidRPr="00816DDD" w:rsidRDefault="00B859CC" w:rsidP="00B859CC">
            <w:pPr>
              <w:widowControl w:val="0"/>
              <w:ind w:left="-14"/>
              <w:contextualSpacing/>
              <w:jc w:val="right"/>
              <w:rPr>
                <w:sz w:val="16"/>
                <w:szCs w:val="16"/>
              </w:rPr>
            </w:pPr>
            <w:r w:rsidRPr="00816DDD">
              <w:rPr>
                <w:rFonts w:hint="cs"/>
                <w:sz w:val="16"/>
                <w:szCs w:val="16"/>
              </w:rPr>
              <w:t>20.594</w:t>
            </w:r>
          </w:p>
        </w:tc>
        <w:tc>
          <w:tcPr>
            <w:tcW w:w="990" w:type="dxa"/>
          </w:tcPr>
          <w:p w14:paraId="4B571B37" w14:textId="77777777" w:rsidR="00B859CC" w:rsidRPr="00816DDD" w:rsidRDefault="00B859CC" w:rsidP="00B859CC">
            <w:pPr>
              <w:widowControl w:val="0"/>
              <w:ind w:left="-14"/>
              <w:contextualSpacing/>
              <w:jc w:val="right"/>
              <w:rPr>
                <w:sz w:val="16"/>
                <w:szCs w:val="16"/>
              </w:rPr>
            </w:pPr>
            <w:r w:rsidRPr="00816DDD">
              <w:rPr>
                <w:rFonts w:hint="cs"/>
                <w:sz w:val="16"/>
                <w:szCs w:val="16"/>
              </w:rPr>
              <w:t>0.9391</w:t>
            </w:r>
          </w:p>
        </w:tc>
        <w:tc>
          <w:tcPr>
            <w:tcW w:w="990" w:type="dxa"/>
          </w:tcPr>
          <w:p w14:paraId="67BBF6C7" w14:textId="77777777" w:rsidR="00B859CC" w:rsidRPr="00816DDD" w:rsidRDefault="00B859CC" w:rsidP="00B859CC">
            <w:pPr>
              <w:widowControl w:val="0"/>
              <w:ind w:left="-14"/>
              <w:contextualSpacing/>
              <w:jc w:val="right"/>
              <w:rPr>
                <w:sz w:val="16"/>
                <w:szCs w:val="16"/>
              </w:rPr>
            </w:pPr>
            <w:r w:rsidRPr="00816DDD">
              <w:rPr>
                <w:rFonts w:hint="cs"/>
                <w:sz w:val="16"/>
                <w:szCs w:val="16"/>
              </w:rPr>
              <w:t>0.7637</w:t>
            </w:r>
          </w:p>
        </w:tc>
        <w:tc>
          <w:tcPr>
            <w:tcW w:w="990" w:type="dxa"/>
          </w:tcPr>
          <w:p w14:paraId="30F71C6A" w14:textId="77777777" w:rsidR="00B859CC" w:rsidRPr="00816DDD" w:rsidRDefault="00B859CC" w:rsidP="00B859CC">
            <w:pPr>
              <w:widowControl w:val="0"/>
              <w:contextualSpacing/>
              <w:jc w:val="right"/>
              <w:rPr>
                <w:sz w:val="16"/>
                <w:szCs w:val="16"/>
              </w:rPr>
            </w:pPr>
            <w:r w:rsidRPr="00816DDD">
              <w:rPr>
                <w:rFonts w:hint="cs"/>
                <w:sz w:val="16"/>
                <w:szCs w:val="16"/>
              </w:rPr>
              <w:t>6.5423</w:t>
            </w:r>
          </w:p>
        </w:tc>
        <w:tc>
          <w:tcPr>
            <w:tcW w:w="990" w:type="dxa"/>
          </w:tcPr>
          <w:p w14:paraId="1309EC79" w14:textId="77777777" w:rsidR="00B859CC" w:rsidRPr="00816DDD" w:rsidRDefault="00B859CC" w:rsidP="00B859CC">
            <w:pPr>
              <w:widowControl w:val="0"/>
              <w:ind w:left="-14"/>
              <w:contextualSpacing/>
              <w:jc w:val="right"/>
              <w:rPr>
                <w:sz w:val="16"/>
                <w:szCs w:val="16"/>
              </w:rPr>
            </w:pPr>
            <w:r w:rsidRPr="00816DDD">
              <w:rPr>
                <w:rFonts w:hint="cs"/>
                <w:sz w:val="16"/>
                <w:szCs w:val="16"/>
              </w:rPr>
              <w:t>0.7003</w:t>
            </w:r>
          </w:p>
        </w:tc>
      </w:tr>
      <w:tr w:rsidR="00816DDD" w:rsidRPr="00816DDD" w14:paraId="55A4887D" w14:textId="77777777" w:rsidTr="005328BD">
        <w:tc>
          <w:tcPr>
            <w:tcW w:w="10170" w:type="dxa"/>
            <w:gridSpan w:val="10"/>
          </w:tcPr>
          <w:p w14:paraId="61AD6FBD" w14:textId="77777777" w:rsidR="00B859CC" w:rsidRPr="00816DDD" w:rsidRDefault="00B859CC" w:rsidP="00B859CC">
            <w:pPr>
              <w:widowControl w:val="0"/>
              <w:ind w:left="-15" w:firstLine="15"/>
              <w:contextualSpacing/>
              <w:rPr>
                <w:sz w:val="16"/>
                <w:szCs w:val="16"/>
              </w:rPr>
            </w:pPr>
            <w:r w:rsidRPr="00816DDD">
              <w:rPr>
                <w:rFonts w:hint="cs"/>
                <w:sz w:val="16"/>
                <w:szCs w:val="16"/>
              </w:rPr>
              <w:t>Source:  Royal Bank of Canada, April 21, 2021</w:t>
            </w:r>
          </w:p>
        </w:tc>
      </w:tr>
    </w:tbl>
    <w:p w14:paraId="241513A8" w14:textId="77777777" w:rsidR="00B859CC" w:rsidRPr="00816DDD" w:rsidRDefault="00B859CC" w:rsidP="00B859CC">
      <w:pPr>
        <w:widowControl w:val="0"/>
        <w:spacing w:after="0" w:line="240" w:lineRule="auto"/>
        <w:rPr>
          <w:b/>
          <w:szCs w:val="24"/>
        </w:rPr>
      </w:pPr>
    </w:p>
    <w:p w14:paraId="579FCB41" w14:textId="62A2C93E" w:rsidR="00B859CC" w:rsidRPr="00816DDD" w:rsidRDefault="00B859CC" w:rsidP="00B859CC">
      <w:pPr>
        <w:widowControl w:val="0"/>
        <w:spacing w:after="0" w:line="240" w:lineRule="auto"/>
        <w:rPr>
          <w:szCs w:val="24"/>
        </w:rPr>
      </w:pPr>
      <w:r w:rsidRPr="00816DDD">
        <w:rPr>
          <w:rFonts w:hint="cs"/>
          <w:szCs w:val="24"/>
        </w:rPr>
        <w:t xml:space="preserve">Again, the spot rate quotation of 1.2486 CAD/USD in Exhibit 5 means 1 USD would buy 1.2486 CAD today.  The spot rate has fallen over the last four weeks, so the USD is depreciating against the CAD as it can be exchanged for fewer CAD.  If the spot rate increased, the USD would </w:t>
      </w:r>
      <w:proofErr w:type="gramStart"/>
      <w:r w:rsidR="00AA0B27">
        <w:rPr>
          <w:szCs w:val="24"/>
        </w:rPr>
        <w:t>appreciate</w:t>
      </w:r>
      <w:r w:rsidRPr="00816DDD">
        <w:rPr>
          <w:rFonts w:hint="cs"/>
          <w:szCs w:val="24"/>
        </w:rPr>
        <w:t xml:space="preserve"> against</w:t>
      </w:r>
      <w:proofErr w:type="gramEnd"/>
      <w:r w:rsidRPr="00816DDD">
        <w:rPr>
          <w:rFonts w:hint="cs"/>
          <w:szCs w:val="24"/>
        </w:rPr>
        <w:t xml:space="preserve"> the CAD as it can be exchanged for more CAD.  </w:t>
      </w:r>
    </w:p>
    <w:p w14:paraId="2845516F" w14:textId="77777777" w:rsidR="00B859CC" w:rsidRPr="00816DDD" w:rsidRDefault="00B859CC" w:rsidP="00B859CC">
      <w:pPr>
        <w:widowControl w:val="0"/>
        <w:spacing w:after="0" w:line="240" w:lineRule="auto"/>
        <w:rPr>
          <w:szCs w:val="24"/>
        </w:rPr>
      </w:pPr>
    </w:p>
    <w:p w14:paraId="0651DA7B" w14:textId="145ACA9F" w:rsidR="00B859CC" w:rsidRPr="00816DDD" w:rsidRDefault="00B859CC" w:rsidP="00B859CC">
      <w:pPr>
        <w:widowControl w:val="0"/>
        <w:spacing w:after="0" w:line="240" w:lineRule="auto"/>
        <w:rPr>
          <w:szCs w:val="24"/>
        </w:rPr>
      </w:pPr>
      <w:r w:rsidRPr="00816DDD">
        <w:rPr>
          <w:rFonts w:hint="cs"/>
          <w:szCs w:val="24"/>
        </w:rPr>
        <w:t>If a Canadian company earned USD 10,000 in the U.S., it could convert this profit into CAD 12,486 (i.e.</w:t>
      </w:r>
      <w:r w:rsidR="0043567C" w:rsidRPr="00816DDD">
        <w:rPr>
          <w:szCs w:val="24"/>
        </w:rPr>
        <w:t>,</w:t>
      </w:r>
      <w:r w:rsidRPr="00816DDD">
        <w:rPr>
          <w:rFonts w:hint="cs"/>
          <w:szCs w:val="24"/>
        </w:rPr>
        <w:t xml:space="preserve"> 10,000 x 1.2486).  But what if a U.S. company earned CAD 10,000 in Canada and wanted to convert it to USD?  The spot rate of 1.2486 is less </w:t>
      </w:r>
      <w:r w:rsidR="00E52174">
        <w:rPr>
          <w:szCs w:val="24"/>
        </w:rPr>
        <w:t>valuable</w:t>
      </w:r>
      <w:r w:rsidRPr="00816DDD">
        <w:rPr>
          <w:rFonts w:hint="cs"/>
          <w:szCs w:val="24"/>
        </w:rPr>
        <w:t xml:space="preserve"> as the company needs an exchange rate that shows how much USD a company will receive for 1 CAD.  The spot rate quotation can be inverted so </w:t>
      </w:r>
      <w:r w:rsidR="00AA0B27">
        <w:rPr>
          <w:szCs w:val="24"/>
        </w:rPr>
        <w:t xml:space="preserve">that </w:t>
      </w:r>
      <w:r w:rsidRPr="00816DDD">
        <w:rPr>
          <w:rFonts w:hint="cs"/>
          <w:szCs w:val="24"/>
        </w:rPr>
        <w:t xml:space="preserve">the USD is the </w:t>
      </w:r>
      <w:r w:rsidRPr="00816DDD">
        <w:rPr>
          <w:szCs w:val="24"/>
        </w:rPr>
        <w:t>numerator,</w:t>
      </w:r>
      <w:r w:rsidRPr="00816DDD">
        <w:rPr>
          <w:rFonts w:hint="cs"/>
          <w:szCs w:val="24"/>
        </w:rPr>
        <w:t xml:space="preserve"> and the CAD is the denominator.  The quotation of 1.2486 CAD/USD would become 0.8009 USD/CAD (i.e.</w:t>
      </w:r>
      <w:r w:rsidR="0043567C" w:rsidRPr="00816DDD">
        <w:rPr>
          <w:szCs w:val="24"/>
        </w:rPr>
        <w:t>,</w:t>
      </w:r>
      <w:r w:rsidRPr="00816DDD">
        <w:rPr>
          <w:rFonts w:hint="cs"/>
          <w:szCs w:val="24"/>
        </w:rPr>
        <w:t xml:space="preserve"> 1.0000 / 1.2486)</w:t>
      </w:r>
      <w:r w:rsidR="00AA0B27">
        <w:rPr>
          <w:szCs w:val="24"/>
        </w:rPr>
        <w:t>,</w:t>
      </w:r>
      <w:r w:rsidRPr="00816DDD">
        <w:rPr>
          <w:rFonts w:hint="cs"/>
          <w:szCs w:val="24"/>
        </w:rPr>
        <w:t xml:space="preserve"> which means 1 CAD could be exchanged for 0.8009 USD.  If a U.S. company earns CAD 10,000 in Canada, it could convert these profits into USD 8,009 (i.e.</w:t>
      </w:r>
      <w:r w:rsidR="0043567C" w:rsidRPr="00816DDD">
        <w:rPr>
          <w:szCs w:val="24"/>
        </w:rPr>
        <w:t>,</w:t>
      </w:r>
      <w:r w:rsidRPr="00816DDD">
        <w:rPr>
          <w:rFonts w:hint="cs"/>
          <w:szCs w:val="24"/>
        </w:rPr>
        <w:t xml:space="preserve"> 10,000 x 0.8009).</w:t>
      </w:r>
    </w:p>
    <w:p w14:paraId="0D375B48" w14:textId="77777777" w:rsidR="00B859CC" w:rsidRPr="00816DDD" w:rsidRDefault="00B859CC" w:rsidP="00B859CC">
      <w:pPr>
        <w:widowControl w:val="0"/>
        <w:spacing w:after="0" w:line="240" w:lineRule="auto"/>
        <w:rPr>
          <w:b/>
          <w:szCs w:val="24"/>
        </w:rPr>
      </w:pPr>
    </w:p>
    <w:p w14:paraId="1FB58E48" w14:textId="77777777" w:rsidR="00B859CC" w:rsidRPr="00816DDD" w:rsidRDefault="00B859CC" w:rsidP="00B859CC">
      <w:pPr>
        <w:widowControl w:val="0"/>
        <w:spacing w:after="0" w:line="240" w:lineRule="auto"/>
        <w:rPr>
          <w:b/>
          <w:szCs w:val="24"/>
        </w:rPr>
      </w:pPr>
      <w:r w:rsidRPr="00816DDD">
        <w:rPr>
          <w:rFonts w:hint="cs"/>
          <w:b/>
          <w:szCs w:val="24"/>
        </w:rPr>
        <w:t>Quotation Conventions</w:t>
      </w:r>
    </w:p>
    <w:p w14:paraId="132031AE" w14:textId="77777777" w:rsidR="00B859CC" w:rsidRPr="00816DDD" w:rsidRDefault="00B859CC" w:rsidP="00B859CC">
      <w:pPr>
        <w:widowControl w:val="0"/>
        <w:spacing w:after="0" w:line="240" w:lineRule="auto"/>
        <w:rPr>
          <w:szCs w:val="24"/>
        </w:rPr>
      </w:pPr>
    </w:p>
    <w:p w14:paraId="551EABAA" w14:textId="217EC968" w:rsidR="00B859CC" w:rsidRPr="00816DDD" w:rsidRDefault="00B859CC" w:rsidP="00B859CC">
      <w:pPr>
        <w:widowControl w:val="0"/>
        <w:spacing w:after="0" w:line="240" w:lineRule="auto"/>
        <w:rPr>
          <w:szCs w:val="24"/>
        </w:rPr>
      </w:pPr>
      <w:r w:rsidRPr="00816DDD">
        <w:rPr>
          <w:rFonts w:hint="cs"/>
          <w:szCs w:val="24"/>
        </w:rPr>
        <w:t>Exchange rates are quoted in pairs of currencies</w:t>
      </w:r>
      <w:r w:rsidR="00AA0B27">
        <w:rPr>
          <w:szCs w:val="24"/>
        </w:rPr>
        <w:t>,</w:t>
      </w:r>
      <w:r w:rsidRPr="00816DDD">
        <w:rPr>
          <w:rFonts w:hint="cs"/>
          <w:szCs w:val="24"/>
        </w:rPr>
        <w:t xml:space="preserve"> such as CAD and USD.  Practices vary between markets as to which is the quote currency (numerator) and base currency (denominator).  </w:t>
      </w:r>
    </w:p>
    <w:p w14:paraId="14AC6F3A" w14:textId="77777777" w:rsidR="00B859CC" w:rsidRPr="00816DDD" w:rsidRDefault="00B859CC" w:rsidP="00B859CC">
      <w:pPr>
        <w:widowControl w:val="0"/>
        <w:spacing w:after="0" w:line="240" w:lineRule="auto"/>
        <w:rPr>
          <w:szCs w:val="24"/>
        </w:rPr>
      </w:pPr>
    </w:p>
    <w:p w14:paraId="3633CF13" w14:textId="7D277113" w:rsidR="00B859CC" w:rsidRPr="00816DDD" w:rsidRDefault="00B859CC" w:rsidP="00B859CC">
      <w:pPr>
        <w:widowControl w:val="0"/>
        <w:spacing w:after="0" w:line="240" w:lineRule="auto"/>
        <w:ind w:left="360" w:right="-216"/>
        <w:rPr>
          <w:b/>
          <w:szCs w:val="24"/>
        </w:rPr>
      </w:pPr>
      <w:r w:rsidRPr="00816DDD">
        <w:rPr>
          <w:rFonts w:hint="cs"/>
          <w:b/>
          <w:szCs w:val="24"/>
        </w:rPr>
        <w:t xml:space="preserve">Direct quote.  </w:t>
      </w:r>
      <w:bookmarkStart w:id="3" w:name="_Hlk140241096"/>
      <w:r w:rsidRPr="00816DDD">
        <w:rPr>
          <w:rFonts w:hint="cs"/>
          <w:szCs w:val="24"/>
        </w:rPr>
        <w:t>The domestic country’s currency is the quote currency (numerator)</w:t>
      </w:r>
      <w:r w:rsidR="00AA0B27">
        <w:rPr>
          <w:szCs w:val="24"/>
        </w:rPr>
        <w:t>,</w:t>
      </w:r>
      <w:r w:rsidRPr="00816DDD">
        <w:rPr>
          <w:rFonts w:hint="cs"/>
          <w:szCs w:val="24"/>
        </w:rPr>
        <w:t xml:space="preserve"> and the foreign currency is the base currency (denominator).  This ratio measures what a domestic trader would pay for one unit of a foreign currency or receive for one unit of foreign currency.  </w:t>
      </w:r>
      <w:bookmarkEnd w:id="3"/>
      <w:r w:rsidRPr="00816DDD">
        <w:rPr>
          <w:rFonts w:hint="cs"/>
          <w:szCs w:val="24"/>
        </w:rPr>
        <w:t>The CAD/USD quote of 1.2486 from Exhibit 5 is a direct quote from the perspective of a Canadian trader.  They would pay CAD 1.2486 for 1 USD or receive CAD 1.2486 for 1 USD.</w:t>
      </w:r>
    </w:p>
    <w:p w14:paraId="7C9BDEEB" w14:textId="77777777" w:rsidR="00B859CC" w:rsidRPr="00816DDD" w:rsidRDefault="00B859CC" w:rsidP="00B859CC">
      <w:pPr>
        <w:widowControl w:val="0"/>
        <w:spacing w:after="0" w:line="240" w:lineRule="auto"/>
        <w:ind w:left="360"/>
        <w:rPr>
          <w:szCs w:val="24"/>
        </w:rPr>
      </w:pPr>
    </w:p>
    <w:p w14:paraId="64ED8553" w14:textId="38C5BB1C" w:rsidR="00352CE6" w:rsidRPr="00816DDD" w:rsidRDefault="00B859CC" w:rsidP="00352CE6">
      <w:pPr>
        <w:widowControl w:val="0"/>
        <w:spacing w:after="0" w:line="240" w:lineRule="auto"/>
        <w:ind w:left="360"/>
        <w:rPr>
          <w:szCs w:val="24"/>
        </w:rPr>
      </w:pPr>
      <w:r w:rsidRPr="00816DDD">
        <w:rPr>
          <w:rFonts w:hint="cs"/>
          <w:b/>
          <w:szCs w:val="24"/>
        </w:rPr>
        <w:t xml:space="preserve">Indirect quote.  </w:t>
      </w:r>
      <w:r w:rsidRPr="00816DDD">
        <w:rPr>
          <w:rFonts w:hint="cs"/>
          <w:szCs w:val="24"/>
        </w:rPr>
        <w:t>The domestic currency is the base currency (denominator)</w:t>
      </w:r>
      <w:r w:rsidR="00AA0B27">
        <w:rPr>
          <w:szCs w:val="24"/>
        </w:rPr>
        <w:t>,</w:t>
      </w:r>
      <w:r w:rsidRPr="00816DDD">
        <w:rPr>
          <w:rFonts w:hint="cs"/>
          <w:szCs w:val="24"/>
        </w:rPr>
        <w:t xml:space="preserve"> and the foreign currency is the quote currency (numerator).  This ratio measures what a foreign trader would pay for one unit of domestic currency or receive for one unit of domestic currency.  The USD/CAD quote of 0.8009 from Exhibit 5 is an indirect quote from the perspective of a U.S. trader.  They would pay USD 0.8009 for 1 CAD or receive USD 0.08009 for 1 CAD. </w:t>
      </w:r>
    </w:p>
    <w:p w14:paraId="097F2D18" w14:textId="77777777" w:rsidR="00352CE6" w:rsidRPr="00816DDD" w:rsidRDefault="00352CE6" w:rsidP="00352CE6">
      <w:pPr>
        <w:widowControl w:val="0"/>
        <w:spacing w:after="0" w:line="240" w:lineRule="auto"/>
        <w:ind w:left="360"/>
        <w:rPr>
          <w:b/>
          <w:szCs w:val="24"/>
        </w:rPr>
      </w:pPr>
    </w:p>
    <w:p w14:paraId="3CF91E4D" w14:textId="07209EF7" w:rsidR="00B859CC" w:rsidRPr="00816DDD" w:rsidRDefault="00B859CC" w:rsidP="00352CE6">
      <w:pPr>
        <w:widowControl w:val="0"/>
        <w:spacing w:after="0" w:line="240" w:lineRule="auto"/>
        <w:rPr>
          <w:b/>
          <w:szCs w:val="24"/>
        </w:rPr>
      </w:pPr>
      <w:r w:rsidRPr="00816DDD">
        <w:rPr>
          <w:rFonts w:hint="cs"/>
          <w:b/>
          <w:szCs w:val="24"/>
        </w:rPr>
        <w:t>Bid-Ask Quotations</w:t>
      </w:r>
    </w:p>
    <w:p w14:paraId="3C0C5068" w14:textId="77777777" w:rsidR="00B859CC" w:rsidRPr="00816DDD" w:rsidRDefault="00B859CC" w:rsidP="00B859CC">
      <w:pPr>
        <w:widowControl w:val="0"/>
        <w:spacing w:after="0" w:line="240" w:lineRule="auto"/>
        <w:ind w:left="-450"/>
        <w:rPr>
          <w:szCs w:val="24"/>
        </w:rPr>
      </w:pPr>
    </w:p>
    <w:p w14:paraId="7E1E6B24" w14:textId="0A28BADF" w:rsidR="008477D9" w:rsidRPr="00816DDD" w:rsidRDefault="00B859CC" w:rsidP="0016434F">
      <w:pPr>
        <w:widowControl w:val="0"/>
        <w:spacing w:after="0" w:line="240" w:lineRule="auto"/>
        <w:rPr>
          <w:szCs w:val="24"/>
        </w:rPr>
      </w:pPr>
      <w:r w:rsidRPr="00816DDD">
        <w:rPr>
          <w:rFonts w:hint="cs"/>
          <w:szCs w:val="24"/>
        </w:rPr>
        <w:t xml:space="preserve">When traders convert currency, the currency dealer quotes two prices.  The bid </w:t>
      </w:r>
      <w:r w:rsidR="008477D9" w:rsidRPr="00816DDD">
        <w:rPr>
          <w:szCs w:val="24"/>
        </w:rPr>
        <w:t>price</w:t>
      </w:r>
      <w:r w:rsidRPr="00816DDD">
        <w:rPr>
          <w:rFonts w:hint="cs"/>
          <w:szCs w:val="24"/>
        </w:rPr>
        <w:t xml:space="preserve"> is the exchange rate at which they will buy the base currency, while the ask </w:t>
      </w:r>
      <w:r w:rsidR="008477D9" w:rsidRPr="00816DDD">
        <w:rPr>
          <w:szCs w:val="24"/>
        </w:rPr>
        <w:t>price</w:t>
      </w:r>
      <w:r w:rsidRPr="00816DDD">
        <w:rPr>
          <w:rFonts w:hint="cs"/>
          <w:szCs w:val="24"/>
        </w:rPr>
        <w:t xml:space="preserve"> is the exchange rate at which they will sell the base currency.  The difference between these exchange rates </w:t>
      </w:r>
      <w:proofErr w:type="gramStart"/>
      <w:r w:rsidRPr="00816DDD">
        <w:rPr>
          <w:rFonts w:hint="cs"/>
          <w:szCs w:val="24"/>
        </w:rPr>
        <w:t>is</w:t>
      </w:r>
      <w:proofErr w:type="gramEnd"/>
      <w:r w:rsidRPr="00816DDD">
        <w:rPr>
          <w:rFonts w:hint="cs"/>
          <w:szCs w:val="24"/>
        </w:rPr>
        <w:t xml:space="preserve"> the bid-</w:t>
      </w:r>
      <w:proofErr w:type="gramStart"/>
      <w:r w:rsidRPr="00816DDD">
        <w:rPr>
          <w:rFonts w:hint="cs"/>
          <w:szCs w:val="24"/>
        </w:rPr>
        <w:t>ask spread</w:t>
      </w:r>
      <w:proofErr w:type="gramEnd"/>
      <w:r w:rsidR="00AA0B27">
        <w:rPr>
          <w:szCs w:val="24"/>
        </w:rPr>
        <w:t>,</w:t>
      </w:r>
      <w:r w:rsidRPr="00816DDD">
        <w:rPr>
          <w:rFonts w:hint="cs"/>
          <w:szCs w:val="24"/>
        </w:rPr>
        <w:t xml:space="preserve"> which is the profit earned by the dealer or the customer’s transaction cost.  </w:t>
      </w:r>
      <w:bookmarkStart w:id="4" w:name="_Hlk140225979"/>
    </w:p>
    <w:p w14:paraId="78C29136" w14:textId="77777777" w:rsidR="008477D9" w:rsidRPr="00816DDD" w:rsidRDefault="008477D9" w:rsidP="0016434F">
      <w:pPr>
        <w:widowControl w:val="0"/>
        <w:spacing w:after="0" w:line="240" w:lineRule="auto"/>
        <w:rPr>
          <w:szCs w:val="24"/>
        </w:rPr>
      </w:pPr>
    </w:p>
    <w:p w14:paraId="54C0BE81" w14:textId="2FDB8A7E" w:rsidR="00B859CC" w:rsidRPr="00816DDD" w:rsidRDefault="008477D9" w:rsidP="0016434F">
      <w:pPr>
        <w:widowControl w:val="0"/>
        <w:spacing w:after="0" w:line="240" w:lineRule="auto"/>
        <w:rPr>
          <w:szCs w:val="24"/>
        </w:rPr>
      </w:pPr>
      <w:r w:rsidRPr="00816DDD">
        <w:rPr>
          <w:szCs w:val="24"/>
        </w:rPr>
        <w:t xml:space="preserve">If </w:t>
      </w:r>
      <w:r w:rsidR="00B859CC" w:rsidRPr="00816DDD">
        <w:rPr>
          <w:rFonts w:hint="cs"/>
          <w:szCs w:val="24"/>
        </w:rPr>
        <w:t>a foreign exchange dealer has a bid price of 1.2486 CAD/USD and an ask price of 1.2491 CAD/USD</w:t>
      </w:r>
      <w:r w:rsidRPr="00816DDD">
        <w:rPr>
          <w:szCs w:val="24"/>
        </w:rPr>
        <w:t xml:space="preserve">, this </w:t>
      </w:r>
      <w:r w:rsidR="00B859CC" w:rsidRPr="00816DDD">
        <w:rPr>
          <w:rFonts w:hint="cs"/>
          <w:szCs w:val="24"/>
        </w:rPr>
        <w:t xml:space="preserve">represents a bid-ask spread of 0.0005 CAD/USD or </w:t>
      </w:r>
      <w:r w:rsidR="00D03FE7">
        <w:rPr>
          <w:szCs w:val="24"/>
        </w:rPr>
        <w:t>5</w:t>
      </w:r>
      <w:r w:rsidR="00B859CC" w:rsidRPr="00816DDD">
        <w:rPr>
          <w:rFonts w:hint="cs"/>
          <w:szCs w:val="24"/>
        </w:rPr>
        <w:t xml:space="preserve"> pips.  If a </w:t>
      </w:r>
      <w:r w:rsidRPr="00816DDD">
        <w:rPr>
          <w:szCs w:val="24"/>
        </w:rPr>
        <w:t xml:space="preserve">Canadian </w:t>
      </w:r>
      <w:r w:rsidR="00B859CC" w:rsidRPr="00816DDD">
        <w:rPr>
          <w:rFonts w:hint="cs"/>
          <w:szCs w:val="24"/>
        </w:rPr>
        <w:t xml:space="preserve">business wants to buy USD 100,000 to purchase parts from a U.S. supplier, </w:t>
      </w:r>
      <w:r w:rsidR="003E6E98">
        <w:rPr>
          <w:szCs w:val="24"/>
        </w:rPr>
        <w:t>it</w:t>
      </w:r>
      <w:r w:rsidR="00B859CC" w:rsidRPr="00816DDD">
        <w:rPr>
          <w:rFonts w:hint="cs"/>
          <w:szCs w:val="24"/>
        </w:rPr>
        <w:t xml:space="preserve"> will buy USD 100,000 at the </w:t>
      </w:r>
      <w:r w:rsidR="00B859CC" w:rsidRPr="00816DDD">
        <w:rPr>
          <w:rFonts w:hint="cs"/>
          <w:szCs w:val="24"/>
        </w:rPr>
        <w:lastRenderedPageBreak/>
        <w:t xml:space="preserve">ask price of 1.2491 CAD/USD or CAD 124,910.  To fill this order, the dealer would have to buy USD 100,000 at the bid price of 1.2486 CAD/USD or </w:t>
      </w:r>
      <w:r w:rsidR="00DF7CB9" w:rsidRPr="00816DDD">
        <w:rPr>
          <w:szCs w:val="24"/>
        </w:rPr>
        <w:t>CAD</w:t>
      </w:r>
      <w:r w:rsidR="00B859CC" w:rsidRPr="00816DDD">
        <w:rPr>
          <w:rFonts w:hint="cs"/>
          <w:szCs w:val="24"/>
        </w:rPr>
        <w:t xml:space="preserve"> 124,860.  The dealer’s profit on this transaction is CAD 50 (CAD 124,910 – CAD 124,860) or (USD 100,000 x 0.0005).  Different dealers display their bid-ask q</w:t>
      </w:r>
      <w:r w:rsidR="003E6E98">
        <w:rPr>
          <w:szCs w:val="24"/>
        </w:rPr>
        <w:t>uotes u</w:t>
      </w:r>
      <w:r w:rsidR="00B859CC" w:rsidRPr="00816DDD">
        <w:rPr>
          <w:rFonts w:hint="cs"/>
          <w:szCs w:val="24"/>
        </w:rPr>
        <w:t>sing variations of the table in Exhibit 6</w:t>
      </w:r>
      <w:r w:rsidR="00B859CC" w:rsidRPr="00816DDD">
        <w:rPr>
          <w:szCs w:val="24"/>
        </w:rPr>
        <w:t>.</w:t>
      </w:r>
    </w:p>
    <w:bookmarkEnd w:id="4"/>
    <w:p w14:paraId="246E8083" w14:textId="77777777" w:rsidR="008477D9" w:rsidRPr="00816DDD" w:rsidRDefault="008477D9" w:rsidP="00B859CC">
      <w:pPr>
        <w:widowControl w:val="0"/>
        <w:spacing w:after="0" w:line="240" w:lineRule="auto"/>
        <w:jc w:val="center"/>
        <w:rPr>
          <w:b/>
          <w:sz w:val="20"/>
          <w:szCs w:val="20"/>
        </w:rPr>
      </w:pPr>
    </w:p>
    <w:p w14:paraId="021F459B" w14:textId="08B8F689" w:rsidR="008477D9" w:rsidRDefault="00B859CC" w:rsidP="00125A65">
      <w:pPr>
        <w:widowControl w:val="0"/>
        <w:spacing w:after="0" w:line="240" w:lineRule="auto"/>
        <w:jc w:val="center"/>
        <w:rPr>
          <w:b/>
          <w:sz w:val="20"/>
          <w:szCs w:val="20"/>
        </w:rPr>
      </w:pPr>
      <w:r w:rsidRPr="00816DDD">
        <w:rPr>
          <w:rFonts w:hint="cs"/>
          <w:b/>
          <w:sz w:val="20"/>
          <w:szCs w:val="20"/>
        </w:rPr>
        <w:t xml:space="preserve">Exhibit </w:t>
      </w:r>
      <w:r w:rsidR="00024B00" w:rsidRPr="00816DDD">
        <w:rPr>
          <w:b/>
          <w:sz w:val="20"/>
          <w:szCs w:val="20"/>
        </w:rPr>
        <w:t>6</w:t>
      </w:r>
      <w:r w:rsidRPr="00816DDD">
        <w:rPr>
          <w:rFonts w:hint="cs"/>
          <w:b/>
          <w:sz w:val="20"/>
          <w:szCs w:val="20"/>
        </w:rPr>
        <w:t>:  Bid-Ask Quotation</w:t>
      </w:r>
    </w:p>
    <w:p w14:paraId="59780A55" w14:textId="21C56277" w:rsidR="00B859CC" w:rsidRPr="00816DDD" w:rsidRDefault="003C4EC4" w:rsidP="00B81FE3">
      <w:pPr>
        <w:widowControl w:val="0"/>
        <w:spacing w:after="0" w:line="240" w:lineRule="auto"/>
        <w:rPr>
          <w:b/>
          <w:sz w:val="20"/>
          <w:szCs w:val="20"/>
        </w:rPr>
      </w:pPr>
      <w:r>
        <w:rPr>
          <w:noProof/>
        </w:rPr>
        <w:pict w14:anchorId="18D9E789">
          <v:shapetype id="_x0000_t32" coordsize="21600,21600" o:spt="32" o:oned="t" path="m,l21600,21600e" filled="f">
            <v:path arrowok="t" fillok="f" o:connecttype="none"/>
            <o:lock v:ext="edit" shapetype="t"/>
          </v:shapetype>
          <v:shape id="Straight Arrow Connector 9" o:spid="_x0000_s1046" type="#_x0000_t32" style="position:absolute;margin-left:330.35pt;margin-top:38.65pt;width:17.4pt;height:3.6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" strokecolor="windowText" strokeweight=".5pt">
            <v:stroke endarrow="block" joinstyle="miter"/>
          </v:shape>
        </w:pict>
      </w:r>
      <w:r>
        <w:rPr>
          <w:noProof/>
        </w:rPr>
        <w:pict w14:anchorId="781E989D">
          <v:shapetype id="_x0000_t202" coordsize="21600,21600" o:spt="202" path="m,l,21600r21600,l21600,xe">
            <v:stroke joinstyle="miter"/>
            <v:path gradientshapeok="t" o:connecttype="rect"/>
          </v:shapetype>
          <v:shape id="Text Box 2" o:spid="_x0000_s1045" type="#_x0000_t202" style="position:absolute;margin-left:347.65pt;margin-top:23.9pt;width:62.4pt;height:35.35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LSDQIAAPY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" stroked="f">
            <v:textbox style="mso-fit-shape-to-text:t">
              <w:txbxContent>
                <w:p w14:paraId="0D0C0C75" w14:textId="237FF708" w:rsidR="00B859CC" w:rsidRPr="00A16FB4" w:rsidRDefault="008477D9" w:rsidP="00B859CC">
                  <w:pPr>
                    <w:spacing w:after="0" w:line="240" w:lineRule="auto"/>
                    <w:rPr>
                      <w:b/>
                    </w:rPr>
                  </w:pPr>
                  <w:r>
                    <w:rPr>
                      <w:b/>
                    </w:rPr>
                    <w:t>Bid</w:t>
                  </w:r>
                  <w:r w:rsidR="00B859CC" w:rsidRPr="00A16FB4">
                    <w:rPr>
                      <w:b/>
                    </w:rPr>
                    <w:t xml:space="preserve"> price</w:t>
                  </w:r>
                </w:p>
              </w:txbxContent>
            </v:textbox>
          </v:shape>
        </w:pict>
      </w:r>
      <w:r>
        <w:rPr>
          <w:noProof/>
        </w:rPr>
        <w:pict w14:anchorId="1C30285F">
          <v:shape id="Straight Arrow Connector 1" o:spid="_x0000_s1044" type="#_x0000_t32" style="position:absolute;margin-left:275pt;margin-top:18.5pt;width:59.85pt;height:8.9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" strokecolor="windowText" strokeweight=".5pt">
            <v:stroke endarrow="block" joinstyle="miter"/>
          </v:shape>
        </w:pict>
      </w:r>
      <w:r>
        <w:rPr>
          <w:noProof/>
        </w:rPr>
        <w:pict w14:anchorId="692A994D">
          <v:shape id="_x0000_s1043" type="#_x0000_t202" style="position:absolute;margin-left:334.85pt;margin-top:4.8pt;width:43.85pt;height:22.4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" stroked="f">
            <v:textbox>
              <w:txbxContent>
                <w:p w14:paraId="1C29270D" w14:textId="1280BB34" w:rsidR="008477D9" w:rsidRPr="008477D9" w:rsidRDefault="008477D9">
                  <w:pPr>
                    <w:rPr>
                      <w:b/>
                      <w:bCs/>
                    </w:rPr>
                  </w:pPr>
                  <w:r w:rsidRPr="008477D9">
                    <w:rPr>
                      <w:b/>
                      <w:bCs/>
                    </w:rPr>
                    <w:t>Pips</w:t>
                  </w:r>
                </w:p>
              </w:txbxContent>
            </v:textbox>
            <w10:wrap type="square"/>
          </v:shape>
        </w:pict>
      </w:r>
      <w:r>
        <w:rPr>
          <w:noProof/>
        </w:rPr>
        <w:pict w14:anchorId="637BED22">
          <v:shape id="_x0000_s1042" type="#_x0000_t202" style="position:absolute;margin-left:135.05pt;margin-top:18.8pt;width:49.55pt;height:35.35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" stroked="f">
            <v:textbox style="mso-fit-shape-to-text:t">
              <w:txbxContent>
                <w:p w14:paraId="22468C71" w14:textId="7207DB84" w:rsidR="00B859CC" w:rsidRPr="00A16FB4" w:rsidRDefault="008477D9" w:rsidP="00B859CC">
                  <w:pPr>
                    <w:spacing w:after="0" w:line="240" w:lineRule="auto"/>
                    <w:rPr>
                      <w:b/>
                    </w:rPr>
                  </w:pPr>
                  <w:r>
                    <w:rPr>
                      <w:b/>
                    </w:rPr>
                    <w:t>Ask</w:t>
                  </w:r>
                  <w:r w:rsidR="00B859CC">
                    <w:rPr>
                      <w:b/>
                    </w:rPr>
                    <w:t xml:space="preserve"> </w:t>
                  </w:r>
                  <w:r w:rsidR="00B859CC" w:rsidRPr="00A16FB4">
                    <w:rPr>
                      <w:b/>
                    </w:rPr>
                    <w:t>price</w:t>
                  </w:r>
                </w:p>
              </w:txbxContent>
            </v:textbox>
          </v:shape>
        </w:pict>
      </w:r>
      <w:r>
        <w:rPr>
          <w:noProof/>
        </w:rPr>
        <w:pict w14:anchorId="2C0B50D3">
          <v:shape id="Straight Arrow Connector 10" o:spid="_x0000_s1041" type="#_x0000_t32" style="position:absolute;margin-left:178.35pt;margin-top:35.1pt;width:19.1pt;height:3.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" strokecolor="windowText" strokeweight=".5pt">
            <v:stroke endarrow="block" joinstyle="miter"/>
          </v:shape>
        </w:pict>
      </w:r>
    </w:p>
    <w:tbl>
      <w:tblPr>
        <w:tblStyle w:val="TableGrid"/>
        <w:tblW w:w="0" w:type="auto"/>
        <w:tblInd w:w="4045" w:type="dxa"/>
        <w:tblLayout w:type="fixed"/>
        <w:tblLook w:val="04A0" w:firstRow="1" w:lastRow="0" w:firstColumn="1" w:lastColumn="0" w:noHBand="0" w:noVBand="1"/>
      </w:tblPr>
      <w:tblGrid>
        <w:gridCol w:w="990"/>
        <w:gridCol w:w="540"/>
        <w:gridCol w:w="900"/>
      </w:tblGrid>
      <w:tr w:rsidR="00816DDD" w:rsidRPr="00816DDD" w14:paraId="171CE82B" w14:textId="77777777" w:rsidTr="00352CE6">
        <w:tc>
          <w:tcPr>
            <w:tcW w:w="2430" w:type="dxa"/>
            <w:gridSpan w:val="3"/>
          </w:tcPr>
          <w:p w14:paraId="6D314B26" w14:textId="36C5D299" w:rsidR="00B859CC" w:rsidRPr="00816DDD" w:rsidRDefault="00B859CC" w:rsidP="00B859CC">
            <w:pPr>
              <w:widowControl w:val="0"/>
              <w:ind w:left="720"/>
              <w:contextualSpacing/>
              <w:rPr>
                <w:b/>
                <w:sz w:val="20"/>
                <w:szCs w:val="20"/>
              </w:rPr>
            </w:pPr>
            <w:bookmarkStart w:id="5" w:name="_Hlk140227630"/>
            <w:r w:rsidRPr="00816DDD">
              <w:rPr>
                <w:rFonts w:hint="cs"/>
                <w:b/>
                <w:sz w:val="20"/>
                <w:szCs w:val="20"/>
              </w:rPr>
              <w:t>CAD/USD</w:t>
            </w:r>
          </w:p>
        </w:tc>
      </w:tr>
      <w:tr w:rsidR="00816DDD" w:rsidRPr="00816DDD" w14:paraId="6A55E9FD" w14:textId="77777777" w:rsidTr="00352CE6">
        <w:tc>
          <w:tcPr>
            <w:tcW w:w="990" w:type="dxa"/>
            <w:tcBorders>
              <w:bottom w:val="single" w:sz="4" w:space="0" w:color="auto"/>
            </w:tcBorders>
            <w:vAlign w:val="center"/>
          </w:tcPr>
          <w:p w14:paraId="4B037ABC" w14:textId="77777777" w:rsidR="00B859CC" w:rsidRPr="00816DDD" w:rsidRDefault="00B859CC" w:rsidP="00352CE6">
            <w:pPr>
              <w:widowControl w:val="0"/>
              <w:contextualSpacing/>
              <w:jc w:val="center"/>
              <w:rPr>
                <w:b/>
                <w:sz w:val="20"/>
                <w:szCs w:val="20"/>
              </w:rPr>
            </w:pPr>
            <w:r w:rsidRPr="00816DDD">
              <w:rPr>
                <w:rFonts w:hint="cs"/>
                <w:b/>
                <w:sz w:val="20"/>
                <w:szCs w:val="20"/>
              </w:rPr>
              <w:t>Sell</w:t>
            </w:r>
          </w:p>
        </w:tc>
        <w:tc>
          <w:tcPr>
            <w:tcW w:w="540" w:type="dxa"/>
            <w:tcBorders>
              <w:bottom w:val="single" w:sz="4" w:space="0" w:color="auto"/>
            </w:tcBorders>
          </w:tcPr>
          <w:p w14:paraId="5F885237" w14:textId="77777777" w:rsidR="00B859CC" w:rsidRPr="00816DDD" w:rsidRDefault="00B859CC" w:rsidP="00352CE6">
            <w:pPr>
              <w:widowControl w:val="0"/>
              <w:contextualSpacing/>
              <w:jc w:val="center"/>
              <w:rPr>
                <w:b/>
                <w:sz w:val="20"/>
                <w:szCs w:val="20"/>
              </w:rPr>
            </w:pPr>
            <w:r w:rsidRPr="00816DDD">
              <w:rPr>
                <w:rFonts w:hint="cs"/>
                <w:b/>
                <w:sz w:val="20"/>
                <w:szCs w:val="20"/>
              </w:rPr>
              <w:t>5</w:t>
            </w:r>
          </w:p>
        </w:tc>
        <w:tc>
          <w:tcPr>
            <w:tcW w:w="900" w:type="dxa"/>
            <w:tcBorders>
              <w:bottom w:val="single" w:sz="4" w:space="0" w:color="auto"/>
            </w:tcBorders>
            <w:vAlign w:val="center"/>
          </w:tcPr>
          <w:p w14:paraId="0BC6F29B" w14:textId="48DFEA50" w:rsidR="00B859CC" w:rsidRPr="00816DDD" w:rsidRDefault="00B859CC" w:rsidP="00352CE6">
            <w:pPr>
              <w:widowControl w:val="0"/>
              <w:ind w:hanging="14"/>
              <w:contextualSpacing/>
              <w:jc w:val="center"/>
              <w:rPr>
                <w:b/>
                <w:sz w:val="20"/>
                <w:szCs w:val="20"/>
              </w:rPr>
            </w:pPr>
            <w:r w:rsidRPr="00816DDD">
              <w:rPr>
                <w:rFonts w:hint="cs"/>
                <w:b/>
                <w:sz w:val="20"/>
                <w:szCs w:val="20"/>
              </w:rPr>
              <w:t>Buy</w:t>
            </w:r>
          </w:p>
        </w:tc>
      </w:tr>
      <w:tr w:rsidR="00816DDD" w:rsidRPr="00816DDD" w14:paraId="7A87C775" w14:textId="77777777" w:rsidTr="00352CE6">
        <w:trPr>
          <w:trHeight w:val="224"/>
        </w:trPr>
        <w:tc>
          <w:tcPr>
            <w:tcW w:w="990" w:type="dxa"/>
            <w:tcBorders>
              <w:bottom w:val="single" w:sz="4" w:space="0" w:color="auto"/>
              <w:right w:val="nil"/>
            </w:tcBorders>
            <w:vAlign w:val="center"/>
          </w:tcPr>
          <w:p w14:paraId="7CFE8C43" w14:textId="5A312568" w:rsidR="00B859CC" w:rsidRPr="00816DDD" w:rsidRDefault="00B859CC" w:rsidP="00352CE6">
            <w:pPr>
              <w:widowControl w:val="0"/>
              <w:contextualSpacing/>
              <w:jc w:val="center"/>
              <w:rPr>
                <w:sz w:val="20"/>
                <w:szCs w:val="20"/>
              </w:rPr>
            </w:pPr>
            <w:r w:rsidRPr="00816DDD">
              <w:rPr>
                <w:rFonts w:hint="cs"/>
                <w:sz w:val="20"/>
                <w:szCs w:val="20"/>
              </w:rPr>
              <w:t>1.24</w:t>
            </w:r>
            <w:r w:rsidR="0016434F" w:rsidRPr="00816DDD">
              <w:rPr>
                <w:b/>
                <w:sz w:val="20"/>
                <w:szCs w:val="20"/>
                <w:vertAlign w:val="superscript"/>
              </w:rPr>
              <w:t>91</w:t>
            </w:r>
          </w:p>
        </w:tc>
        <w:tc>
          <w:tcPr>
            <w:tcW w:w="540" w:type="dxa"/>
            <w:tcBorders>
              <w:left w:val="nil"/>
              <w:bottom w:val="single" w:sz="4" w:space="0" w:color="auto"/>
              <w:right w:val="nil"/>
            </w:tcBorders>
          </w:tcPr>
          <w:p w14:paraId="4C57E21F" w14:textId="77777777" w:rsidR="00B859CC" w:rsidRPr="00816DDD" w:rsidRDefault="00B859CC" w:rsidP="00B859CC">
            <w:pPr>
              <w:widowControl w:val="0"/>
              <w:ind w:left="720"/>
              <w:contextualSpacing/>
              <w:jc w:val="center"/>
              <w:rPr>
                <w:sz w:val="20"/>
                <w:szCs w:val="20"/>
              </w:rPr>
            </w:pPr>
          </w:p>
        </w:tc>
        <w:tc>
          <w:tcPr>
            <w:tcW w:w="900" w:type="dxa"/>
            <w:tcBorders>
              <w:left w:val="nil"/>
              <w:bottom w:val="single" w:sz="4" w:space="0" w:color="auto"/>
            </w:tcBorders>
            <w:vAlign w:val="center"/>
          </w:tcPr>
          <w:p w14:paraId="628A9BCC" w14:textId="4C060907" w:rsidR="00B859CC" w:rsidRPr="00816DDD" w:rsidRDefault="00B859CC" w:rsidP="00352CE6">
            <w:pPr>
              <w:widowControl w:val="0"/>
              <w:contextualSpacing/>
              <w:jc w:val="center"/>
              <w:rPr>
                <w:sz w:val="20"/>
                <w:szCs w:val="20"/>
              </w:rPr>
            </w:pPr>
            <w:r w:rsidRPr="00816DDD">
              <w:rPr>
                <w:rFonts w:hint="cs"/>
                <w:sz w:val="20"/>
                <w:szCs w:val="20"/>
              </w:rPr>
              <w:t>1.24</w:t>
            </w:r>
            <w:r w:rsidR="0016434F" w:rsidRPr="00816DDD">
              <w:rPr>
                <w:b/>
                <w:sz w:val="20"/>
                <w:szCs w:val="20"/>
                <w:vertAlign w:val="superscript"/>
              </w:rPr>
              <w:t>86</w:t>
            </w:r>
          </w:p>
        </w:tc>
      </w:tr>
      <w:tr w:rsidR="00B859CC" w:rsidRPr="00816DDD" w14:paraId="69A7D07B" w14:textId="77777777" w:rsidTr="00352CE6">
        <w:trPr>
          <w:trHeight w:val="71"/>
        </w:trPr>
        <w:tc>
          <w:tcPr>
            <w:tcW w:w="2430" w:type="dxa"/>
            <w:gridSpan w:val="3"/>
          </w:tcPr>
          <w:p w14:paraId="45FBD85A" w14:textId="29E57723" w:rsidR="00B859CC" w:rsidRPr="00816DDD" w:rsidRDefault="00B859CC" w:rsidP="00352CE6">
            <w:pPr>
              <w:widowControl w:val="0"/>
              <w:contextualSpacing/>
              <w:rPr>
                <w:sz w:val="18"/>
                <w:szCs w:val="18"/>
              </w:rPr>
            </w:pPr>
            <w:r w:rsidRPr="00816DDD">
              <w:rPr>
                <w:rFonts w:hint="cs"/>
                <w:b/>
                <w:sz w:val="18"/>
                <w:szCs w:val="18"/>
              </w:rPr>
              <w:t>USD:</w:t>
            </w:r>
            <w:r w:rsidRPr="00816DDD">
              <w:rPr>
                <w:rFonts w:hint="cs"/>
                <w:sz w:val="18"/>
                <w:szCs w:val="18"/>
              </w:rPr>
              <w:t xml:space="preserve"> 100,000</w:t>
            </w:r>
          </w:p>
        </w:tc>
      </w:tr>
      <w:bookmarkEnd w:id="5"/>
    </w:tbl>
    <w:p w14:paraId="11664953" w14:textId="77777777" w:rsidR="008477D9" w:rsidRPr="00816DDD" w:rsidRDefault="008477D9" w:rsidP="00352CE6">
      <w:pPr>
        <w:widowControl w:val="0"/>
        <w:spacing w:after="0" w:line="240" w:lineRule="auto"/>
        <w:ind w:right="-180"/>
        <w:rPr>
          <w:szCs w:val="24"/>
        </w:rPr>
      </w:pPr>
    </w:p>
    <w:p w14:paraId="266E9C99" w14:textId="1DA95C54" w:rsidR="00B859CC" w:rsidRPr="00816DDD" w:rsidRDefault="00B859CC" w:rsidP="00352CE6">
      <w:pPr>
        <w:widowControl w:val="0"/>
        <w:spacing w:after="0" w:line="240" w:lineRule="auto"/>
        <w:ind w:right="-180"/>
        <w:rPr>
          <w:szCs w:val="24"/>
        </w:rPr>
      </w:pPr>
      <w:r w:rsidRPr="00816DDD">
        <w:rPr>
          <w:rFonts w:hint="cs"/>
          <w:szCs w:val="24"/>
        </w:rPr>
        <w:t>This is a direct quotation where the quote currency (i.e.</w:t>
      </w:r>
      <w:r w:rsidR="0043567C" w:rsidRPr="00816DDD">
        <w:rPr>
          <w:szCs w:val="24"/>
        </w:rPr>
        <w:t>,</w:t>
      </w:r>
      <w:r w:rsidRPr="00816DDD">
        <w:rPr>
          <w:rFonts w:hint="cs"/>
          <w:szCs w:val="24"/>
        </w:rPr>
        <w:t xml:space="preserve"> </w:t>
      </w:r>
      <w:r w:rsidR="00AA0B27">
        <w:rPr>
          <w:szCs w:val="24"/>
        </w:rPr>
        <w:t xml:space="preserve">the </w:t>
      </w:r>
      <w:r w:rsidRPr="00816DDD">
        <w:rPr>
          <w:rFonts w:hint="cs"/>
          <w:szCs w:val="24"/>
        </w:rPr>
        <w:t>numerator) is for the domestic trader and the base currency (i.e.</w:t>
      </w:r>
      <w:r w:rsidR="0043567C" w:rsidRPr="00816DDD">
        <w:rPr>
          <w:szCs w:val="24"/>
        </w:rPr>
        <w:t>,</w:t>
      </w:r>
      <w:r w:rsidRPr="00816DDD">
        <w:rPr>
          <w:rFonts w:hint="cs"/>
          <w:szCs w:val="24"/>
        </w:rPr>
        <w:t xml:space="preserve"> </w:t>
      </w:r>
      <w:r w:rsidR="00AA0B27">
        <w:rPr>
          <w:szCs w:val="24"/>
        </w:rPr>
        <w:t xml:space="preserve">the </w:t>
      </w:r>
      <w:r w:rsidRPr="00816DDD">
        <w:rPr>
          <w:rFonts w:hint="cs"/>
          <w:szCs w:val="24"/>
        </w:rPr>
        <w:t>denominator) is for the foreign trader.  The part of the exchange rate quotation that is the same is not bolded and is referred to as the “big figure” or “handle.”  The remaining digits are bolded and shown as exponents.  They are used to calculate the bid-ask spread of 0.0005</w:t>
      </w:r>
      <w:r w:rsidR="00AA0B27">
        <w:rPr>
          <w:szCs w:val="24"/>
        </w:rPr>
        <w:t>,</w:t>
      </w:r>
      <w:r w:rsidRPr="00816DDD">
        <w:rPr>
          <w:rFonts w:hint="cs"/>
          <w:szCs w:val="24"/>
        </w:rPr>
        <w:t xml:space="preserve"> which is more simply shown as 5 pips.  The order size is USD </w:t>
      </w:r>
      <w:r w:rsidR="005A6781" w:rsidRPr="00816DDD">
        <w:rPr>
          <w:szCs w:val="24"/>
        </w:rPr>
        <w:t>100,000,</w:t>
      </w:r>
      <w:r w:rsidRPr="00816DDD">
        <w:rPr>
          <w:rFonts w:hint="cs"/>
          <w:szCs w:val="24"/>
        </w:rPr>
        <w:t xml:space="preserve"> which is the normal lot size for trading currency in the foreign exchange market.  The spread is higher if the customer trades in “odd” lots that are lower than the normal lot size.  The bid-ask spread can also be stated as a percentage of the ask price for comparison. </w:t>
      </w:r>
    </w:p>
    <w:p w14:paraId="7C7A718B" w14:textId="77777777" w:rsidR="00B859CC" w:rsidRPr="00816DDD" w:rsidRDefault="00B859CC" w:rsidP="00352CE6">
      <w:pPr>
        <w:widowControl w:val="0"/>
        <w:spacing w:after="0" w:line="240" w:lineRule="auto"/>
        <w:rPr>
          <w:szCs w:val="24"/>
        </w:rPr>
      </w:pPr>
    </w:p>
    <w:p w14:paraId="0062EB25" w14:textId="77777777" w:rsidR="00B859CC" w:rsidRPr="00816DDD" w:rsidRDefault="00B859CC" w:rsidP="00352CE6">
      <w:pPr>
        <w:widowControl w:val="0"/>
        <w:spacing w:after="0" w:line="240" w:lineRule="auto"/>
        <w:rPr>
          <w:szCs w:val="24"/>
        </w:rPr>
      </w:pPr>
      <w:r w:rsidRPr="00816DDD">
        <w:rPr>
          <w:rFonts w:hint="cs"/>
          <w:szCs w:val="24"/>
        </w:rPr>
        <w:t>The size of the bid-ask spread depends on several factors.</w:t>
      </w:r>
    </w:p>
    <w:p w14:paraId="6DE3917A" w14:textId="77777777" w:rsidR="00B859CC" w:rsidRPr="00F21269" w:rsidRDefault="00B859CC" w:rsidP="00352CE6">
      <w:pPr>
        <w:widowControl w:val="0"/>
        <w:spacing w:after="0" w:line="240" w:lineRule="auto"/>
        <w:rPr>
          <w:sz w:val="20"/>
          <w:szCs w:val="20"/>
        </w:rPr>
      </w:pPr>
    </w:p>
    <w:p w14:paraId="4E50E783" w14:textId="678836BF" w:rsidR="00B859CC" w:rsidRPr="00816DDD" w:rsidRDefault="00B859CC" w:rsidP="0051511B">
      <w:pPr>
        <w:widowControl w:val="0"/>
        <w:numPr>
          <w:ilvl w:val="0"/>
          <w:numId w:val="11"/>
        </w:numPr>
        <w:spacing w:after="0" w:line="240" w:lineRule="auto"/>
        <w:ind w:right="-36"/>
        <w:contextualSpacing/>
        <w:rPr>
          <w:szCs w:val="24"/>
        </w:rPr>
      </w:pPr>
      <w:r w:rsidRPr="00816DDD">
        <w:rPr>
          <w:rFonts w:hint="cs"/>
          <w:szCs w:val="24"/>
        </w:rPr>
        <w:t xml:space="preserve">Bid-ask spreads </w:t>
      </w:r>
      <w:proofErr w:type="gramStart"/>
      <w:r w:rsidRPr="00816DDD">
        <w:rPr>
          <w:rFonts w:hint="cs"/>
          <w:szCs w:val="24"/>
        </w:rPr>
        <w:t>average</w:t>
      </w:r>
      <w:proofErr w:type="gramEnd"/>
      <w:r w:rsidRPr="00816DDD">
        <w:rPr>
          <w:rFonts w:hint="cs"/>
          <w:szCs w:val="24"/>
        </w:rPr>
        <w:t xml:space="preserve"> between 3 to 5 pips for major currency pairs</w:t>
      </w:r>
      <w:r w:rsidR="006E7B58" w:rsidRPr="00816DDD">
        <w:rPr>
          <w:szCs w:val="24"/>
        </w:rPr>
        <w:t xml:space="preserve"> with high trading volumes</w:t>
      </w:r>
      <w:r w:rsidR="00AA0B27">
        <w:rPr>
          <w:szCs w:val="24"/>
        </w:rPr>
        <w:t>,</w:t>
      </w:r>
      <w:r w:rsidR="006E7B58" w:rsidRPr="00816DDD">
        <w:rPr>
          <w:szCs w:val="24"/>
        </w:rPr>
        <w:t xml:space="preserve"> such as the USD/EUR</w:t>
      </w:r>
      <w:r w:rsidR="00AA0B27">
        <w:rPr>
          <w:szCs w:val="24"/>
        </w:rPr>
        <w:t>,</w:t>
      </w:r>
      <w:r w:rsidR="006E7B58" w:rsidRPr="00816DDD">
        <w:rPr>
          <w:szCs w:val="24"/>
        </w:rPr>
        <w:t xml:space="preserve"> </w:t>
      </w:r>
      <w:r w:rsidRPr="00816DDD">
        <w:rPr>
          <w:rFonts w:hint="cs"/>
          <w:szCs w:val="24"/>
        </w:rPr>
        <w:t>but are higher for transactions involving minor currencies</w:t>
      </w:r>
      <w:r w:rsidR="006E7B58" w:rsidRPr="00816DDD">
        <w:rPr>
          <w:szCs w:val="24"/>
        </w:rPr>
        <w:t xml:space="preserve">, </w:t>
      </w:r>
      <w:r w:rsidRPr="00816DDD">
        <w:rPr>
          <w:rFonts w:hint="cs"/>
          <w:szCs w:val="24"/>
        </w:rPr>
        <w:t>also called exotic currencies</w:t>
      </w:r>
      <w:r w:rsidR="006E7B58" w:rsidRPr="00816DDD">
        <w:rPr>
          <w:szCs w:val="24"/>
        </w:rPr>
        <w:t xml:space="preserve">, </w:t>
      </w:r>
      <w:r w:rsidRPr="00816DDD">
        <w:rPr>
          <w:rFonts w:hint="cs"/>
          <w:szCs w:val="24"/>
        </w:rPr>
        <w:t>like the RUB.  More trading volume means greater competition, so dealers pay higher bid prices and receive lower ask prices</w:t>
      </w:r>
      <w:r w:rsidR="00AA0B27">
        <w:rPr>
          <w:szCs w:val="24"/>
        </w:rPr>
        <w:t>,</w:t>
      </w:r>
      <w:r w:rsidRPr="00816DDD">
        <w:rPr>
          <w:rFonts w:hint="cs"/>
          <w:szCs w:val="24"/>
        </w:rPr>
        <w:t xml:space="preserve"> reducing the spread.  With higher volume or market liquidity, dealers can also trade more </w:t>
      </w:r>
      <w:r w:rsidR="005A6781" w:rsidRPr="00816DDD">
        <w:rPr>
          <w:szCs w:val="24"/>
        </w:rPr>
        <w:t>quickly,</w:t>
      </w:r>
      <w:r w:rsidRPr="00816DDD">
        <w:rPr>
          <w:rFonts w:hint="cs"/>
          <w:szCs w:val="24"/>
        </w:rPr>
        <w:t xml:space="preserve"> lowering their transaction costs and risk exposure from changing exchange rates.  As discussed, most currency trades have a minimum lot size of 100,000, so trading below th</w:t>
      </w:r>
      <w:r w:rsidR="006E7B58" w:rsidRPr="00816DDD">
        <w:rPr>
          <w:szCs w:val="24"/>
        </w:rPr>
        <w:t>is</w:t>
      </w:r>
      <w:r w:rsidRPr="00816DDD">
        <w:rPr>
          <w:rFonts w:hint="cs"/>
          <w:szCs w:val="24"/>
        </w:rPr>
        <w:t xml:space="preserve"> amount will increase transaction costs. </w:t>
      </w:r>
    </w:p>
    <w:p w14:paraId="10CE6DED" w14:textId="77777777" w:rsidR="00B859CC" w:rsidRPr="00816DDD" w:rsidRDefault="00B859CC" w:rsidP="00352CE6">
      <w:pPr>
        <w:widowControl w:val="0"/>
        <w:spacing w:after="0" w:line="240" w:lineRule="auto"/>
        <w:ind w:left="720" w:hanging="360"/>
        <w:rPr>
          <w:szCs w:val="24"/>
        </w:rPr>
      </w:pPr>
    </w:p>
    <w:p w14:paraId="5A5BCEB3" w14:textId="27E069F2" w:rsidR="00B859CC" w:rsidRPr="00816DDD" w:rsidRDefault="00B859CC" w:rsidP="00352CE6">
      <w:pPr>
        <w:widowControl w:val="0"/>
        <w:numPr>
          <w:ilvl w:val="0"/>
          <w:numId w:val="11"/>
        </w:numPr>
        <w:spacing w:after="0" w:line="240" w:lineRule="auto"/>
        <w:contextualSpacing/>
        <w:rPr>
          <w:szCs w:val="24"/>
        </w:rPr>
      </w:pPr>
      <w:r w:rsidRPr="00816DDD">
        <w:rPr>
          <w:rFonts w:hint="cs"/>
          <w:szCs w:val="24"/>
        </w:rPr>
        <w:t xml:space="preserve">Bid-ask spreads widen as markets become more volatile </w:t>
      </w:r>
      <w:r w:rsidR="006E7B58" w:rsidRPr="00816DDD">
        <w:rPr>
          <w:szCs w:val="24"/>
        </w:rPr>
        <w:t>in</w:t>
      </w:r>
      <w:r w:rsidRPr="00816DDD">
        <w:rPr>
          <w:rFonts w:hint="cs"/>
          <w:szCs w:val="24"/>
        </w:rPr>
        <w:t xml:space="preserve"> periods of heightened economic and political turmoil.  A foreign exchange dealer carries an inventory of foreign currencies so they can fill buy orders from customers quickly.  In volatile markets, dealers are more likely to lose money by purchasing currency at more than they eventually sell it for.  Dealers manage this risk by demanding a larger bid-ask spread.</w:t>
      </w:r>
    </w:p>
    <w:p w14:paraId="0F158C50" w14:textId="77777777" w:rsidR="00B859CC" w:rsidRPr="00816DDD" w:rsidRDefault="00B859CC" w:rsidP="00352CE6">
      <w:pPr>
        <w:widowControl w:val="0"/>
        <w:spacing w:after="0" w:line="240" w:lineRule="auto"/>
        <w:ind w:left="720" w:hanging="360"/>
        <w:rPr>
          <w:szCs w:val="24"/>
        </w:rPr>
      </w:pPr>
    </w:p>
    <w:p w14:paraId="48B48006" w14:textId="2D4BD5A4" w:rsidR="00B859CC" w:rsidRPr="00816DDD" w:rsidRDefault="00B859CC" w:rsidP="00A30338">
      <w:pPr>
        <w:widowControl w:val="0"/>
        <w:numPr>
          <w:ilvl w:val="0"/>
          <w:numId w:val="11"/>
        </w:numPr>
        <w:spacing w:after="0" w:line="240" w:lineRule="auto"/>
        <w:ind w:right="-216"/>
        <w:contextualSpacing/>
        <w:rPr>
          <w:szCs w:val="24"/>
        </w:rPr>
      </w:pPr>
      <w:r w:rsidRPr="00816DDD">
        <w:rPr>
          <w:rFonts w:hint="cs"/>
          <w:szCs w:val="24"/>
        </w:rPr>
        <w:t>From a North American perspective, European trading begins in the early morning hours</w:t>
      </w:r>
      <w:r w:rsidR="00AA0B27">
        <w:rPr>
          <w:szCs w:val="24"/>
        </w:rPr>
        <w:t>,</w:t>
      </w:r>
      <w:r w:rsidRPr="00816DDD">
        <w:rPr>
          <w:rFonts w:hint="cs"/>
          <w:szCs w:val="24"/>
        </w:rPr>
        <w:t xml:space="preserve"> while Asian trading does not start till late at night.  If a currency trade is not booked during the regular business hours of the exchange that trades </w:t>
      </w:r>
      <w:r w:rsidR="005A6781" w:rsidRPr="00816DDD">
        <w:rPr>
          <w:szCs w:val="24"/>
        </w:rPr>
        <w:t>predominantly</w:t>
      </w:r>
      <w:r w:rsidRPr="00816DDD">
        <w:rPr>
          <w:rFonts w:hint="cs"/>
          <w:szCs w:val="24"/>
        </w:rPr>
        <w:t xml:space="preserve"> in that currency, there is considerably less liquidity</w:t>
      </w:r>
      <w:r w:rsidR="0043567C" w:rsidRPr="00816DDD">
        <w:rPr>
          <w:szCs w:val="24"/>
        </w:rPr>
        <w:t>,</w:t>
      </w:r>
      <w:r w:rsidRPr="00816DDD">
        <w:rPr>
          <w:rFonts w:hint="cs"/>
          <w:szCs w:val="24"/>
        </w:rPr>
        <w:t xml:space="preserve"> and the bid-ask spread will be higher.  For example, the EUR is primarily traded in the London foreign exchange market, so a U.S. trader would pay a higher bid-ask spread if they traded EUR late in the day in New York when the London market is not active.  The spread is even higher for Hong Kong-based traders. </w:t>
      </w:r>
    </w:p>
    <w:p w14:paraId="4FA05167" w14:textId="77777777" w:rsidR="00B859CC" w:rsidRPr="00816DDD" w:rsidRDefault="00B859CC" w:rsidP="00352CE6">
      <w:pPr>
        <w:widowControl w:val="0"/>
        <w:spacing w:after="0" w:line="240" w:lineRule="auto"/>
        <w:ind w:left="720" w:hanging="360"/>
        <w:rPr>
          <w:szCs w:val="24"/>
        </w:rPr>
      </w:pPr>
    </w:p>
    <w:p w14:paraId="0A580E22" w14:textId="6C748E74" w:rsidR="009A7EBD" w:rsidRDefault="006E7B58" w:rsidP="00B81FE3">
      <w:pPr>
        <w:widowControl w:val="0"/>
        <w:numPr>
          <w:ilvl w:val="0"/>
          <w:numId w:val="11"/>
        </w:numPr>
        <w:spacing w:after="0" w:line="240" w:lineRule="auto"/>
        <w:contextualSpacing/>
        <w:rPr>
          <w:szCs w:val="24"/>
        </w:rPr>
      </w:pPr>
      <w:r w:rsidRPr="00816DDD">
        <w:rPr>
          <w:szCs w:val="24"/>
        </w:rPr>
        <w:t>Larg</w:t>
      </w:r>
      <w:r w:rsidR="00A40581" w:rsidRPr="00816DDD">
        <w:rPr>
          <w:szCs w:val="24"/>
        </w:rPr>
        <w:t xml:space="preserve">e </w:t>
      </w:r>
      <w:r w:rsidRPr="00816DDD">
        <w:rPr>
          <w:szCs w:val="24"/>
        </w:rPr>
        <w:t>b</w:t>
      </w:r>
      <w:r w:rsidR="00B859CC" w:rsidRPr="00816DDD">
        <w:rPr>
          <w:rFonts w:hint="cs"/>
          <w:szCs w:val="24"/>
        </w:rPr>
        <w:t xml:space="preserve">usinesses </w:t>
      </w:r>
      <w:r w:rsidR="00A40581" w:rsidRPr="00816DDD">
        <w:rPr>
          <w:szCs w:val="24"/>
        </w:rPr>
        <w:t>and</w:t>
      </w:r>
      <w:r w:rsidRPr="00816DDD">
        <w:rPr>
          <w:szCs w:val="24"/>
        </w:rPr>
        <w:t xml:space="preserve"> </w:t>
      </w:r>
      <w:r w:rsidR="00B859CC" w:rsidRPr="00816DDD">
        <w:rPr>
          <w:rFonts w:hint="cs"/>
          <w:szCs w:val="24"/>
        </w:rPr>
        <w:t>institutional investors receive lower bid-ask spreads because of their</w:t>
      </w:r>
      <w:r w:rsidR="00A40581" w:rsidRPr="00816DDD">
        <w:rPr>
          <w:szCs w:val="24"/>
        </w:rPr>
        <w:t xml:space="preserve"> higher </w:t>
      </w:r>
      <w:r w:rsidR="00B859CC" w:rsidRPr="00816DDD">
        <w:rPr>
          <w:rFonts w:hint="cs"/>
          <w:szCs w:val="24"/>
        </w:rPr>
        <w:t>transaction volume and market sophistication.</w:t>
      </w:r>
    </w:p>
    <w:p w14:paraId="13FDF8DA" w14:textId="77777777" w:rsidR="0051511B" w:rsidRDefault="0051511B" w:rsidP="00B859CC">
      <w:pPr>
        <w:widowControl w:val="0"/>
        <w:spacing w:after="0" w:line="240" w:lineRule="auto"/>
        <w:rPr>
          <w:b/>
          <w:szCs w:val="24"/>
        </w:rPr>
      </w:pPr>
    </w:p>
    <w:p w14:paraId="139A12BE" w14:textId="1A92FCEE" w:rsidR="00B859CC" w:rsidRPr="00816DDD" w:rsidRDefault="00B859CC" w:rsidP="00B859CC">
      <w:pPr>
        <w:widowControl w:val="0"/>
        <w:spacing w:after="0" w:line="240" w:lineRule="auto"/>
        <w:rPr>
          <w:b/>
          <w:szCs w:val="24"/>
        </w:rPr>
      </w:pPr>
      <w:r w:rsidRPr="00816DDD">
        <w:rPr>
          <w:rFonts w:hint="cs"/>
          <w:b/>
          <w:szCs w:val="24"/>
        </w:rPr>
        <w:t>Cross Rates</w:t>
      </w:r>
    </w:p>
    <w:p w14:paraId="18CDC364" w14:textId="77777777" w:rsidR="00B859CC" w:rsidRPr="00816DDD" w:rsidRDefault="00B859CC" w:rsidP="00B859CC">
      <w:pPr>
        <w:widowControl w:val="0"/>
        <w:spacing w:after="0" w:line="240" w:lineRule="auto"/>
        <w:rPr>
          <w:b/>
          <w:szCs w:val="24"/>
        </w:rPr>
      </w:pPr>
    </w:p>
    <w:p w14:paraId="2747B4D1" w14:textId="04DE321F" w:rsidR="00B81FE3" w:rsidRDefault="00B859CC" w:rsidP="004517FF">
      <w:pPr>
        <w:widowControl w:val="0"/>
        <w:spacing w:after="0" w:line="240" w:lineRule="auto"/>
        <w:rPr>
          <w:szCs w:val="24"/>
        </w:rPr>
      </w:pPr>
      <w:r w:rsidRPr="00816DDD">
        <w:rPr>
          <w:rFonts w:hint="cs"/>
          <w:szCs w:val="24"/>
        </w:rPr>
        <w:t>As discussed, if a company wants to convert USD to CAD, the USD should be the base currency and the CAD should be the quote currency (i.e.</w:t>
      </w:r>
      <w:r w:rsidR="0043567C" w:rsidRPr="00816DDD">
        <w:rPr>
          <w:szCs w:val="24"/>
        </w:rPr>
        <w:t>,</w:t>
      </w:r>
      <w:r w:rsidRPr="00816DDD">
        <w:rPr>
          <w:rFonts w:hint="cs"/>
          <w:szCs w:val="24"/>
        </w:rPr>
        <w:t xml:space="preserve"> CAD/USD).  If it wants to convert CAD to USD, the opposite is true (i.e.</w:t>
      </w:r>
      <w:r w:rsidR="0043567C" w:rsidRPr="00816DDD">
        <w:rPr>
          <w:szCs w:val="24"/>
        </w:rPr>
        <w:t>,</w:t>
      </w:r>
      <w:r w:rsidRPr="00816DDD">
        <w:rPr>
          <w:rFonts w:hint="cs"/>
          <w:szCs w:val="24"/>
        </w:rPr>
        <w:t xml:space="preserve"> USD/CAD).  To help companies, financial information providers publish tables containing cross rates.  The table in Exhibit 7 shows the base currency across the top of the table and the quote currency down the side.  The exchange rates of 1.2486 CAD/USD and 0.8009 USD/CAD previously discussed can be found in this exhibit.</w:t>
      </w:r>
    </w:p>
    <w:p w14:paraId="2F865717" w14:textId="77777777" w:rsidR="004517FF" w:rsidRPr="004517FF" w:rsidRDefault="004517FF" w:rsidP="004517FF">
      <w:pPr>
        <w:widowControl w:val="0"/>
        <w:spacing w:after="0" w:line="240" w:lineRule="auto"/>
        <w:rPr>
          <w:szCs w:val="24"/>
        </w:rPr>
      </w:pPr>
    </w:p>
    <w:p w14:paraId="2B8BAEFA" w14:textId="641C286C" w:rsidR="00B859CC" w:rsidRPr="00816DDD" w:rsidRDefault="00B859CC" w:rsidP="00B859CC">
      <w:pPr>
        <w:widowControl w:val="0"/>
        <w:spacing w:after="0" w:line="240" w:lineRule="auto"/>
        <w:jc w:val="center"/>
        <w:rPr>
          <w:b/>
          <w:sz w:val="20"/>
          <w:szCs w:val="20"/>
        </w:rPr>
      </w:pPr>
      <w:r w:rsidRPr="00816DDD">
        <w:rPr>
          <w:rFonts w:hint="cs"/>
          <w:b/>
          <w:sz w:val="20"/>
          <w:szCs w:val="20"/>
        </w:rPr>
        <w:t xml:space="preserve">Exhibit </w:t>
      </w:r>
      <w:r w:rsidR="00024B00" w:rsidRPr="00816DDD">
        <w:rPr>
          <w:b/>
          <w:sz w:val="20"/>
          <w:szCs w:val="20"/>
        </w:rPr>
        <w:t>7</w:t>
      </w:r>
      <w:r w:rsidRPr="00816DDD">
        <w:rPr>
          <w:rFonts w:hint="cs"/>
          <w:b/>
          <w:sz w:val="20"/>
          <w:szCs w:val="20"/>
        </w:rPr>
        <w:t>: Cross Rates</w:t>
      </w:r>
    </w:p>
    <w:p w14:paraId="28C480AB" w14:textId="77777777" w:rsidR="00B859CC" w:rsidRPr="00816DDD" w:rsidRDefault="00B859CC" w:rsidP="00B859CC">
      <w:pPr>
        <w:widowControl w:val="0"/>
        <w:spacing w:after="0" w:line="240" w:lineRule="auto"/>
        <w:jc w:val="center"/>
        <w:rPr>
          <w:b/>
          <w:sz w:val="20"/>
          <w:szCs w:val="20"/>
        </w:rPr>
      </w:pPr>
    </w:p>
    <w:tbl>
      <w:tblPr>
        <w:tblStyle w:val="TableGrid"/>
        <w:tblW w:w="0" w:type="auto"/>
        <w:tblInd w:w="535" w:type="dxa"/>
        <w:tblLayout w:type="fixed"/>
        <w:tblLook w:val="04A0" w:firstRow="1" w:lastRow="0" w:firstColumn="1" w:lastColumn="0" w:noHBand="0" w:noVBand="1"/>
      </w:tblPr>
      <w:tblGrid>
        <w:gridCol w:w="805"/>
        <w:gridCol w:w="1017"/>
        <w:gridCol w:w="944"/>
        <w:gridCol w:w="1104"/>
        <w:gridCol w:w="1080"/>
        <w:gridCol w:w="887"/>
        <w:gridCol w:w="1018"/>
        <w:gridCol w:w="1018"/>
        <w:gridCol w:w="947"/>
        <w:gridCol w:w="8"/>
      </w:tblGrid>
      <w:tr w:rsidR="00816DDD" w:rsidRPr="00816DDD" w14:paraId="245D20AA" w14:textId="77777777" w:rsidTr="00352CE6">
        <w:tc>
          <w:tcPr>
            <w:tcW w:w="805" w:type="dxa"/>
            <w:tcBorders>
              <w:top w:val="single" w:sz="4" w:space="0" w:color="auto"/>
              <w:left w:val="single" w:sz="4" w:space="0" w:color="auto"/>
              <w:bottom w:val="single" w:sz="4" w:space="0" w:color="auto"/>
              <w:right w:val="single" w:sz="4" w:space="0" w:color="auto"/>
            </w:tcBorders>
          </w:tcPr>
          <w:p w14:paraId="1588DD6A" w14:textId="77777777" w:rsidR="00B859CC" w:rsidRPr="00816DDD" w:rsidRDefault="00B859CC" w:rsidP="00352CE6">
            <w:pPr>
              <w:widowControl w:val="0"/>
              <w:ind w:left="-15"/>
              <w:contextualSpacing/>
              <w:rPr>
                <w:b/>
                <w:sz w:val="20"/>
                <w:szCs w:val="20"/>
              </w:rPr>
            </w:pPr>
          </w:p>
        </w:tc>
        <w:tc>
          <w:tcPr>
            <w:tcW w:w="1017" w:type="dxa"/>
            <w:tcBorders>
              <w:top w:val="single" w:sz="4" w:space="0" w:color="auto"/>
              <w:left w:val="single" w:sz="4" w:space="0" w:color="auto"/>
              <w:bottom w:val="single" w:sz="4" w:space="0" w:color="auto"/>
              <w:right w:val="single" w:sz="4" w:space="0" w:color="auto"/>
            </w:tcBorders>
          </w:tcPr>
          <w:p w14:paraId="3EA2F550" w14:textId="77777777" w:rsidR="00B859CC" w:rsidRPr="00816DDD" w:rsidRDefault="00B859CC" w:rsidP="00352CE6">
            <w:pPr>
              <w:widowControl w:val="0"/>
              <w:contextualSpacing/>
              <w:jc w:val="center"/>
              <w:rPr>
                <w:b/>
                <w:sz w:val="20"/>
                <w:szCs w:val="20"/>
              </w:rPr>
            </w:pPr>
            <w:r w:rsidRPr="00816DDD">
              <w:rPr>
                <w:rFonts w:hint="cs"/>
                <w:b/>
                <w:sz w:val="20"/>
                <w:szCs w:val="20"/>
              </w:rPr>
              <w:t>USD</w:t>
            </w:r>
          </w:p>
        </w:tc>
        <w:tc>
          <w:tcPr>
            <w:tcW w:w="944" w:type="dxa"/>
            <w:tcBorders>
              <w:top w:val="single" w:sz="4" w:space="0" w:color="auto"/>
              <w:left w:val="single" w:sz="4" w:space="0" w:color="auto"/>
              <w:bottom w:val="single" w:sz="4" w:space="0" w:color="auto"/>
              <w:right w:val="single" w:sz="4" w:space="0" w:color="auto"/>
            </w:tcBorders>
          </w:tcPr>
          <w:p w14:paraId="0CA9D4AF" w14:textId="77777777" w:rsidR="00B859CC" w:rsidRPr="00816DDD" w:rsidRDefault="00B859CC" w:rsidP="00352CE6">
            <w:pPr>
              <w:widowControl w:val="0"/>
              <w:ind w:left="-14"/>
              <w:contextualSpacing/>
              <w:jc w:val="center"/>
              <w:rPr>
                <w:b/>
                <w:sz w:val="20"/>
                <w:szCs w:val="20"/>
              </w:rPr>
            </w:pPr>
            <w:r w:rsidRPr="00816DDD">
              <w:rPr>
                <w:rFonts w:hint="cs"/>
                <w:b/>
                <w:sz w:val="20"/>
                <w:szCs w:val="20"/>
              </w:rPr>
              <w:t>CAD</w:t>
            </w:r>
          </w:p>
        </w:tc>
        <w:tc>
          <w:tcPr>
            <w:tcW w:w="1104" w:type="dxa"/>
            <w:tcBorders>
              <w:top w:val="single" w:sz="4" w:space="0" w:color="auto"/>
              <w:left w:val="single" w:sz="4" w:space="0" w:color="auto"/>
              <w:bottom w:val="single" w:sz="4" w:space="0" w:color="auto"/>
              <w:right w:val="single" w:sz="4" w:space="0" w:color="auto"/>
            </w:tcBorders>
          </w:tcPr>
          <w:p w14:paraId="6A50F026" w14:textId="77777777" w:rsidR="00B859CC" w:rsidRPr="00816DDD" w:rsidRDefault="00B859CC" w:rsidP="00352CE6">
            <w:pPr>
              <w:widowControl w:val="0"/>
              <w:contextualSpacing/>
              <w:jc w:val="center"/>
              <w:rPr>
                <w:b/>
                <w:sz w:val="20"/>
                <w:szCs w:val="20"/>
              </w:rPr>
            </w:pPr>
            <w:r w:rsidRPr="00816DDD">
              <w:rPr>
                <w:rFonts w:hint="cs"/>
                <w:b/>
                <w:sz w:val="20"/>
                <w:szCs w:val="20"/>
              </w:rPr>
              <w:t>EUR</w:t>
            </w:r>
          </w:p>
        </w:tc>
        <w:tc>
          <w:tcPr>
            <w:tcW w:w="1080" w:type="dxa"/>
            <w:tcBorders>
              <w:top w:val="single" w:sz="4" w:space="0" w:color="auto"/>
              <w:left w:val="single" w:sz="4" w:space="0" w:color="auto"/>
              <w:bottom w:val="single" w:sz="4" w:space="0" w:color="auto"/>
              <w:right w:val="single" w:sz="4" w:space="0" w:color="auto"/>
            </w:tcBorders>
          </w:tcPr>
          <w:p w14:paraId="3E19D2F2" w14:textId="77777777" w:rsidR="00B859CC" w:rsidRPr="00816DDD" w:rsidRDefault="00B859CC" w:rsidP="00352CE6">
            <w:pPr>
              <w:widowControl w:val="0"/>
              <w:contextualSpacing/>
              <w:jc w:val="center"/>
              <w:rPr>
                <w:b/>
                <w:sz w:val="20"/>
                <w:szCs w:val="20"/>
              </w:rPr>
            </w:pPr>
            <w:r w:rsidRPr="00816DDD">
              <w:rPr>
                <w:rFonts w:hint="cs"/>
                <w:b/>
                <w:sz w:val="20"/>
                <w:szCs w:val="20"/>
              </w:rPr>
              <w:t>MXN</w:t>
            </w:r>
          </w:p>
        </w:tc>
        <w:tc>
          <w:tcPr>
            <w:tcW w:w="887" w:type="dxa"/>
            <w:tcBorders>
              <w:top w:val="single" w:sz="4" w:space="0" w:color="auto"/>
              <w:left w:val="single" w:sz="4" w:space="0" w:color="auto"/>
              <w:bottom w:val="single" w:sz="4" w:space="0" w:color="auto"/>
              <w:right w:val="single" w:sz="4" w:space="0" w:color="auto"/>
            </w:tcBorders>
          </w:tcPr>
          <w:p w14:paraId="7FBE7264" w14:textId="77777777" w:rsidR="00B859CC" w:rsidRPr="00816DDD" w:rsidRDefault="00B859CC" w:rsidP="00352CE6">
            <w:pPr>
              <w:widowControl w:val="0"/>
              <w:contextualSpacing/>
              <w:jc w:val="center"/>
              <w:rPr>
                <w:b/>
                <w:sz w:val="20"/>
                <w:szCs w:val="20"/>
              </w:rPr>
            </w:pPr>
            <w:r w:rsidRPr="00816DDD">
              <w:rPr>
                <w:rFonts w:hint="cs"/>
                <w:b/>
                <w:sz w:val="20"/>
                <w:szCs w:val="20"/>
              </w:rPr>
              <w:t>JPY</w:t>
            </w:r>
          </w:p>
        </w:tc>
        <w:tc>
          <w:tcPr>
            <w:tcW w:w="1018" w:type="dxa"/>
            <w:tcBorders>
              <w:top w:val="single" w:sz="4" w:space="0" w:color="auto"/>
              <w:left w:val="single" w:sz="4" w:space="0" w:color="auto"/>
              <w:bottom w:val="single" w:sz="4" w:space="0" w:color="auto"/>
              <w:right w:val="single" w:sz="4" w:space="0" w:color="auto"/>
            </w:tcBorders>
          </w:tcPr>
          <w:p w14:paraId="4837566C" w14:textId="77777777" w:rsidR="00B859CC" w:rsidRPr="00816DDD" w:rsidRDefault="00B859CC" w:rsidP="00352CE6">
            <w:pPr>
              <w:widowControl w:val="0"/>
              <w:contextualSpacing/>
              <w:jc w:val="center"/>
              <w:rPr>
                <w:b/>
                <w:sz w:val="20"/>
                <w:szCs w:val="20"/>
              </w:rPr>
            </w:pPr>
            <w:r w:rsidRPr="00816DDD">
              <w:rPr>
                <w:rFonts w:hint="cs"/>
                <w:b/>
                <w:sz w:val="20"/>
                <w:szCs w:val="20"/>
              </w:rPr>
              <w:t>GBP</w:t>
            </w:r>
          </w:p>
        </w:tc>
        <w:tc>
          <w:tcPr>
            <w:tcW w:w="1018" w:type="dxa"/>
            <w:tcBorders>
              <w:top w:val="single" w:sz="4" w:space="0" w:color="auto"/>
              <w:left w:val="single" w:sz="4" w:space="0" w:color="auto"/>
              <w:bottom w:val="single" w:sz="4" w:space="0" w:color="auto"/>
              <w:right w:val="single" w:sz="4" w:space="0" w:color="auto"/>
            </w:tcBorders>
          </w:tcPr>
          <w:p w14:paraId="0DFB3CE3" w14:textId="77777777" w:rsidR="00B859CC" w:rsidRPr="00816DDD" w:rsidRDefault="00B859CC" w:rsidP="00352CE6">
            <w:pPr>
              <w:widowControl w:val="0"/>
              <w:contextualSpacing/>
              <w:jc w:val="center"/>
              <w:rPr>
                <w:b/>
                <w:sz w:val="20"/>
                <w:szCs w:val="20"/>
              </w:rPr>
            </w:pPr>
            <w:r w:rsidRPr="00816DDD">
              <w:rPr>
                <w:rFonts w:hint="cs"/>
                <w:b/>
                <w:sz w:val="20"/>
                <w:szCs w:val="20"/>
              </w:rPr>
              <w:t>CHF</w:t>
            </w:r>
          </w:p>
        </w:tc>
        <w:tc>
          <w:tcPr>
            <w:tcW w:w="955" w:type="dxa"/>
            <w:gridSpan w:val="2"/>
            <w:tcBorders>
              <w:top w:val="single" w:sz="4" w:space="0" w:color="auto"/>
              <w:left w:val="single" w:sz="4" w:space="0" w:color="auto"/>
              <w:bottom w:val="single" w:sz="4" w:space="0" w:color="auto"/>
              <w:right w:val="single" w:sz="4" w:space="0" w:color="auto"/>
            </w:tcBorders>
          </w:tcPr>
          <w:p w14:paraId="7A5B8729" w14:textId="77777777" w:rsidR="00B859CC" w:rsidRPr="00816DDD" w:rsidRDefault="00B859CC" w:rsidP="00352CE6">
            <w:pPr>
              <w:widowControl w:val="0"/>
              <w:contextualSpacing/>
              <w:jc w:val="center"/>
              <w:rPr>
                <w:b/>
                <w:sz w:val="20"/>
                <w:szCs w:val="20"/>
              </w:rPr>
            </w:pPr>
            <w:r w:rsidRPr="00816DDD">
              <w:rPr>
                <w:rFonts w:hint="cs"/>
                <w:b/>
                <w:sz w:val="20"/>
                <w:szCs w:val="20"/>
              </w:rPr>
              <w:t>AUD</w:t>
            </w:r>
          </w:p>
        </w:tc>
      </w:tr>
      <w:tr w:rsidR="00816DDD" w:rsidRPr="00816DDD" w14:paraId="52B2731D" w14:textId="77777777" w:rsidTr="00352CE6">
        <w:tc>
          <w:tcPr>
            <w:tcW w:w="805" w:type="dxa"/>
            <w:tcBorders>
              <w:top w:val="single" w:sz="4" w:space="0" w:color="auto"/>
              <w:left w:val="single" w:sz="4" w:space="0" w:color="auto"/>
              <w:bottom w:val="single" w:sz="4" w:space="0" w:color="auto"/>
              <w:right w:val="single" w:sz="4" w:space="0" w:color="auto"/>
            </w:tcBorders>
          </w:tcPr>
          <w:p w14:paraId="23BADB79" w14:textId="77777777" w:rsidR="00B859CC" w:rsidRPr="00816DDD" w:rsidRDefault="00B859CC" w:rsidP="00352CE6">
            <w:pPr>
              <w:widowControl w:val="0"/>
              <w:ind w:left="-15"/>
              <w:contextualSpacing/>
              <w:jc w:val="center"/>
              <w:rPr>
                <w:b/>
                <w:sz w:val="20"/>
                <w:szCs w:val="20"/>
              </w:rPr>
            </w:pPr>
            <w:r w:rsidRPr="00816DDD">
              <w:rPr>
                <w:rFonts w:hint="cs"/>
                <w:b/>
                <w:sz w:val="20"/>
                <w:szCs w:val="20"/>
              </w:rPr>
              <w:t>USD</w:t>
            </w:r>
          </w:p>
        </w:tc>
        <w:tc>
          <w:tcPr>
            <w:tcW w:w="1017" w:type="dxa"/>
            <w:tcBorders>
              <w:top w:val="single" w:sz="4" w:space="0" w:color="auto"/>
              <w:left w:val="single" w:sz="4" w:space="0" w:color="auto"/>
              <w:bottom w:val="single" w:sz="4" w:space="0" w:color="auto"/>
              <w:right w:val="single" w:sz="4" w:space="0" w:color="auto"/>
            </w:tcBorders>
          </w:tcPr>
          <w:p w14:paraId="52826FE5" w14:textId="77777777" w:rsidR="00B859CC" w:rsidRPr="00816DDD" w:rsidRDefault="00B859CC" w:rsidP="00352CE6">
            <w:pPr>
              <w:widowControl w:val="0"/>
              <w:contextualSpacing/>
              <w:jc w:val="right"/>
              <w:rPr>
                <w:sz w:val="20"/>
                <w:szCs w:val="20"/>
              </w:rPr>
            </w:pPr>
            <w:r w:rsidRPr="00816DDD">
              <w:rPr>
                <w:rFonts w:hint="cs"/>
                <w:sz w:val="20"/>
                <w:szCs w:val="20"/>
              </w:rPr>
              <w:t>1.0000</w:t>
            </w:r>
          </w:p>
        </w:tc>
        <w:tc>
          <w:tcPr>
            <w:tcW w:w="944" w:type="dxa"/>
            <w:tcBorders>
              <w:top w:val="single" w:sz="4" w:space="0" w:color="auto"/>
              <w:left w:val="single" w:sz="4" w:space="0" w:color="auto"/>
              <w:bottom w:val="single" w:sz="4" w:space="0" w:color="auto"/>
              <w:right w:val="single" w:sz="4" w:space="0" w:color="auto"/>
            </w:tcBorders>
          </w:tcPr>
          <w:p w14:paraId="710B9435" w14:textId="77777777" w:rsidR="00B859CC" w:rsidRPr="00816DDD" w:rsidRDefault="00B859CC" w:rsidP="00352CE6">
            <w:pPr>
              <w:widowControl w:val="0"/>
              <w:ind w:left="-14"/>
              <w:contextualSpacing/>
              <w:jc w:val="right"/>
              <w:rPr>
                <w:sz w:val="20"/>
                <w:szCs w:val="20"/>
              </w:rPr>
            </w:pPr>
            <w:r w:rsidRPr="00816DDD">
              <w:rPr>
                <w:rFonts w:hint="cs"/>
                <w:sz w:val="20"/>
                <w:szCs w:val="20"/>
              </w:rPr>
              <w:t>0.8009</w:t>
            </w:r>
          </w:p>
        </w:tc>
        <w:tc>
          <w:tcPr>
            <w:tcW w:w="1104" w:type="dxa"/>
            <w:tcBorders>
              <w:top w:val="single" w:sz="4" w:space="0" w:color="auto"/>
              <w:left w:val="single" w:sz="4" w:space="0" w:color="auto"/>
              <w:bottom w:val="single" w:sz="4" w:space="0" w:color="auto"/>
              <w:right w:val="single" w:sz="4" w:space="0" w:color="auto"/>
            </w:tcBorders>
          </w:tcPr>
          <w:p w14:paraId="6441A44C" w14:textId="77777777" w:rsidR="00B859CC" w:rsidRPr="00816DDD" w:rsidRDefault="00B859CC" w:rsidP="00352CE6">
            <w:pPr>
              <w:widowControl w:val="0"/>
              <w:contextualSpacing/>
              <w:jc w:val="right"/>
              <w:rPr>
                <w:sz w:val="20"/>
                <w:szCs w:val="20"/>
              </w:rPr>
            </w:pPr>
            <w:r w:rsidRPr="00816DDD">
              <w:rPr>
                <w:rFonts w:hint="cs"/>
                <w:sz w:val="20"/>
                <w:szCs w:val="20"/>
              </w:rPr>
              <w:t>1.2074</w:t>
            </w:r>
          </w:p>
        </w:tc>
        <w:tc>
          <w:tcPr>
            <w:tcW w:w="1080" w:type="dxa"/>
            <w:tcBorders>
              <w:top w:val="single" w:sz="4" w:space="0" w:color="auto"/>
              <w:left w:val="single" w:sz="4" w:space="0" w:color="auto"/>
              <w:bottom w:val="single" w:sz="4" w:space="0" w:color="auto"/>
              <w:right w:val="single" w:sz="4" w:space="0" w:color="auto"/>
            </w:tcBorders>
          </w:tcPr>
          <w:p w14:paraId="4548D8F1" w14:textId="77777777" w:rsidR="00B859CC" w:rsidRPr="00816DDD" w:rsidRDefault="00B859CC" w:rsidP="00352CE6">
            <w:pPr>
              <w:widowControl w:val="0"/>
              <w:contextualSpacing/>
              <w:jc w:val="right"/>
              <w:rPr>
                <w:sz w:val="20"/>
                <w:szCs w:val="20"/>
              </w:rPr>
            </w:pPr>
            <w:r w:rsidRPr="00816DDD">
              <w:rPr>
                <w:rFonts w:hint="cs"/>
                <w:sz w:val="20"/>
                <w:szCs w:val="20"/>
              </w:rPr>
              <w:t>0.0504</w:t>
            </w:r>
          </w:p>
        </w:tc>
        <w:tc>
          <w:tcPr>
            <w:tcW w:w="887" w:type="dxa"/>
            <w:tcBorders>
              <w:top w:val="single" w:sz="4" w:space="0" w:color="auto"/>
              <w:left w:val="single" w:sz="4" w:space="0" w:color="auto"/>
              <w:bottom w:val="single" w:sz="4" w:space="0" w:color="auto"/>
              <w:right w:val="single" w:sz="4" w:space="0" w:color="auto"/>
            </w:tcBorders>
          </w:tcPr>
          <w:p w14:paraId="16B76D85" w14:textId="77777777" w:rsidR="00B859CC" w:rsidRPr="00816DDD" w:rsidRDefault="00B859CC" w:rsidP="00352CE6">
            <w:pPr>
              <w:widowControl w:val="0"/>
              <w:contextualSpacing/>
              <w:jc w:val="right"/>
              <w:rPr>
                <w:sz w:val="20"/>
                <w:szCs w:val="20"/>
              </w:rPr>
            </w:pPr>
            <w:r w:rsidRPr="00816DDD">
              <w:rPr>
                <w:rFonts w:hint="cs"/>
                <w:sz w:val="20"/>
                <w:szCs w:val="20"/>
              </w:rPr>
              <w:t>0.0093</w:t>
            </w:r>
          </w:p>
        </w:tc>
        <w:tc>
          <w:tcPr>
            <w:tcW w:w="1018" w:type="dxa"/>
            <w:tcBorders>
              <w:top w:val="single" w:sz="4" w:space="0" w:color="auto"/>
              <w:left w:val="single" w:sz="4" w:space="0" w:color="auto"/>
              <w:bottom w:val="single" w:sz="4" w:space="0" w:color="auto"/>
              <w:right w:val="single" w:sz="4" w:space="0" w:color="auto"/>
            </w:tcBorders>
          </w:tcPr>
          <w:p w14:paraId="15F1443C" w14:textId="77777777" w:rsidR="00B859CC" w:rsidRPr="00816DDD" w:rsidRDefault="00B859CC" w:rsidP="00352CE6">
            <w:pPr>
              <w:widowControl w:val="0"/>
              <w:contextualSpacing/>
              <w:jc w:val="right"/>
              <w:rPr>
                <w:sz w:val="20"/>
                <w:szCs w:val="20"/>
              </w:rPr>
            </w:pPr>
            <w:r w:rsidRPr="00816DDD">
              <w:rPr>
                <w:rFonts w:hint="cs"/>
                <w:sz w:val="20"/>
                <w:szCs w:val="20"/>
              </w:rPr>
              <w:t>1.3878</w:t>
            </w:r>
          </w:p>
        </w:tc>
        <w:tc>
          <w:tcPr>
            <w:tcW w:w="1018" w:type="dxa"/>
            <w:tcBorders>
              <w:top w:val="single" w:sz="4" w:space="0" w:color="auto"/>
              <w:left w:val="single" w:sz="4" w:space="0" w:color="auto"/>
              <w:bottom w:val="single" w:sz="4" w:space="0" w:color="auto"/>
              <w:right w:val="single" w:sz="4" w:space="0" w:color="auto"/>
            </w:tcBorders>
          </w:tcPr>
          <w:p w14:paraId="63D37F1F" w14:textId="77777777" w:rsidR="00B859CC" w:rsidRPr="00816DDD" w:rsidRDefault="00B859CC" w:rsidP="00352CE6">
            <w:pPr>
              <w:widowControl w:val="0"/>
              <w:contextualSpacing/>
              <w:jc w:val="right"/>
              <w:rPr>
                <w:sz w:val="20"/>
                <w:szCs w:val="20"/>
              </w:rPr>
            </w:pPr>
            <w:r w:rsidRPr="00816DDD">
              <w:rPr>
                <w:rFonts w:hint="cs"/>
                <w:sz w:val="20"/>
                <w:szCs w:val="20"/>
              </w:rPr>
              <w:t>1.0933</w:t>
            </w:r>
          </w:p>
        </w:tc>
        <w:tc>
          <w:tcPr>
            <w:tcW w:w="955" w:type="dxa"/>
            <w:gridSpan w:val="2"/>
            <w:tcBorders>
              <w:top w:val="single" w:sz="4" w:space="0" w:color="auto"/>
              <w:left w:val="single" w:sz="4" w:space="0" w:color="auto"/>
              <w:bottom w:val="single" w:sz="4" w:space="0" w:color="auto"/>
              <w:right w:val="single" w:sz="4" w:space="0" w:color="auto"/>
            </w:tcBorders>
          </w:tcPr>
          <w:p w14:paraId="43C0B37C" w14:textId="77777777" w:rsidR="00B859CC" w:rsidRPr="00816DDD" w:rsidRDefault="00B859CC" w:rsidP="00352CE6">
            <w:pPr>
              <w:widowControl w:val="0"/>
              <w:contextualSpacing/>
              <w:jc w:val="right"/>
              <w:rPr>
                <w:sz w:val="20"/>
                <w:szCs w:val="20"/>
              </w:rPr>
            </w:pPr>
            <w:r w:rsidRPr="00816DDD">
              <w:rPr>
                <w:rFonts w:hint="cs"/>
                <w:sz w:val="20"/>
                <w:szCs w:val="20"/>
              </w:rPr>
              <w:t>0.7743</w:t>
            </w:r>
          </w:p>
        </w:tc>
      </w:tr>
      <w:tr w:rsidR="00816DDD" w:rsidRPr="00816DDD" w14:paraId="4F6EAF9B" w14:textId="77777777" w:rsidTr="00352CE6">
        <w:tc>
          <w:tcPr>
            <w:tcW w:w="805" w:type="dxa"/>
            <w:tcBorders>
              <w:top w:val="single" w:sz="4" w:space="0" w:color="auto"/>
              <w:left w:val="single" w:sz="4" w:space="0" w:color="auto"/>
              <w:bottom w:val="single" w:sz="4" w:space="0" w:color="auto"/>
              <w:right w:val="single" w:sz="4" w:space="0" w:color="auto"/>
            </w:tcBorders>
          </w:tcPr>
          <w:p w14:paraId="22F6FBED" w14:textId="77777777" w:rsidR="00B859CC" w:rsidRPr="00816DDD" w:rsidRDefault="00B859CC" w:rsidP="00352CE6">
            <w:pPr>
              <w:widowControl w:val="0"/>
              <w:ind w:left="-15"/>
              <w:contextualSpacing/>
              <w:jc w:val="center"/>
              <w:rPr>
                <w:b/>
                <w:sz w:val="20"/>
                <w:szCs w:val="20"/>
              </w:rPr>
            </w:pPr>
            <w:r w:rsidRPr="00816DDD">
              <w:rPr>
                <w:rFonts w:hint="cs"/>
                <w:b/>
                <w:sz w:val="20"/>
                <w:szCs w:val="20"/>
              </w:rPr>
              <w:t>CAD</w:t>
            </w:r>
          </w:p>
        </w:tc>
        <w:tc>
          <w:tcPr>
            <w:tcW w:w="1017" w:type="dxa"/>
            <w:tcBorders>
              <w:top w:val="single" w:sz="4" w:space="0" w:color="auto"/>
              <w:left w:val="single" w:sz="4" w:space="0" w:color="auto"/>
              <w:bottom w:val="single" w:sz="4" w:space="0" w:color="auto"/>
              <w:right w:val="single" w:sz="4" w:space="0" w:color="auto"/>
            </w:tcBorders>
          </w:tcPr>
          <w:p w14:paraId="782B6526" w14:textId="77777777" w:rsidR="00B859CC" w:rsidRPr="00816DDD" w:rsidRDefault="00B859CC" w:rsidP="00352CE6">
            <w:pPr>
              <w:widowControl w:val="0"/>
              <w:contextualSpacing/>
              <w:jc w:val="right"/>
              <w:rPr>
                <w:sz w:val="20"/>
                <w:szCs w:val="20"/>
              </w:rPr>
            </w:pPr>
            <w:bookmarkStart w:id="6" w:name="_Hlk140239204"/>
            <w:r w:rsidRPr="00816DDD">
              <w:rPr>
                <w:rFonts w:hint="cs"/>
                <w:sz w:val="20"/>
                <w:szCs w:val="20"/>
              </w:rPr>
              <w:t>1.2486</w:t>
            </w:r>
            <w:bookmarkEnd w:id="6"/>
          </w:p>
        </w:tc>
        <w:tc>
          <w:tcPr>
            <w:tcW w:w="944" w:type="dxa"/>
            <w:tcBorders>
              <w:top w:val="single" w:sz="4" w:space="0" w:color="auto"/>
              <w:left w:val="single" w:sz="4" w:space="0" w:color="auto"/>
              <w:bottom w:val="single" w:sz="4" w:space="0" w:color="auto"/>
              <w:right w:val="single" w:sz="4" w:space="0" w:color="auto"/>
            </w:tcBorders>
          </w:tcPr>
          <w:p w14:paraId="33D44988" w14:textId="77777777" w:rsidR="00B859CC" w:rsidRPr="00816DDD" w:rsidRDefault="00B859CC" w:rsidP="00352CE6">
            <w:pPr>
              <w:widowControl w:val="0"/>
              <w:ind w:left="-14"/>
              <w:contextualSpacing/>
              <w:jc w:val="right"/>
              <w:rPr>
                <w:sz w:val="20"/>
                <w:szCs w:val="20"/>
              </w:rPr>
            </w:pPr>
            <w:r w:rsidRPr="00816DDD">
              <w:rPr>
                <w:rFonts w:hint="cs"/>
                <w:sz w:val="20"/>
                <w:szCs w:val="20"/>
              </w:rPr>
              <w:t>1.0000</w:t>
            </w:r>
          </w:p>
        </w:tc>
        <w:tc>
          <w:tcPr>
            <w:tcW w:w="1104" w:type="dxa"/>
            <w:tcBorders>
              <w:top w:val="single" w:sz="4" w:space="0" w:color="auto"/>
              <w:left w:val="single" w:sz="4" w:space="0" w:color="auto"/>
              <w:bottom w:val="single" w:sz="4" w:space="0" w:color="auto"/>
              <w:right w:val="single" w:sz="4" w:space="0" w:color="auto"/>
            </w:tcBorders>
          </w:tcPr>
          <w:p w14:paraId="7215C171" w14:textId="77777777" w:rsidR="00B859CC" w:rsidRPr="00816DDD" w:rsidRDefault="00B859CC" w:rsidP="00352CE6">
            <w:pPr>
              <w:widowControl w:val="0"/>
              <w:contextualSpacing/>
              <w:jc w:val="right"/>
              <w:rPr>
                <w:sz w:val="20"/>
                <w:szCs w:val="20"/>
              </w:rPr>
            </w:pPr>
            <w:r w:rsidRPr="00816DDD">
              <w:rPr>
                <w:rFonts w:hint="cs"/>
                <w:sz w:val="20"/>
                <w:szCs w:val="20"/>
              </w:rPr>
              <w:t>1.5076</w:t>
            </w:r>
          </w:p>
        </w:tc>
        <w:tc>
          <w:tcPr>
            <w:tcW w:w="1080" w:type="dxa"/>
            <w:tcBorders>
              <w:top w:val="single" w:sz="4" w:space="0" w:color="auto"/>
              <w:left w:val="single" w:sz="4" w:space="0" w:color="auto"/>
              <w:bottom w:val="single" w:sz="4" w:space="0" w:color="auto"/>
              <w:right w:val="single" w:sz="4" w:space="0" w:color="auto"/>
            </w:tcBorders>
          </w:tcPr>
          <w:p w14:paraId="47AB007D" w14:textId="77777777" w:rsidR="00B859CC" w:rsidRPr="00816DDD" w:rsidRDefault="00B859CC" w:rsidP="00352CE6">
            <w:pPr>
              <w:widowControl w:val="0"/>
              <w:contextualSpacing/>
              <w:jc w:val="right"/>
              <w:rPr>
                <w:sz w:val="20"/>
                <w:szCs w:val="20"/>
              </w:rPr>
            </w:pPr>
            <w:r w:rsidRPr="00816DDD">
              <w:rPr>
                <w:rFonts w:hint="cs"/>
                <w:sz w:val="20"/>
                <w:szCs w:val="20"/>
              </w:rPr>
              <w:t>0.0629</w:t>
            </w:r>
          </w:p>
        </w:tc>
        <w:tc>
          <w:tcPr>
            <w:tcW w:w="887" w:type="dxa"/>
            <w:tcBorders>
              <w:top w:val="single" w:sz="4" w:space="0" w:color="auto"/>
              <w:left w:val="single" w:sz="4" w:space="0" w:color="auto"/>
              <w:bottom w:val="single" w:sz="4" w:space="0" w:color="auto"/>
              <w:right w:val="single" w:sz="4" w:space="0" w:color="auto"/>
            </w:tcBorders>
          </w:tcPr>
          <w:p w14:paraId="063E9FBE" w14:textId="77777777" w:rsidR="00B859CC" w:rsidRPr="00816DDD" w:rsidRDefault="00B859CC" w:rsidP="00352CE6">
            <w:pPr>
              <w:widowControl w:val="0"/>
              <w:contextualSpacing/>
              <w:jc w:val="right"/>
              <w:rPr>
                <w:sz w:val="20"/>
                <w:szCs w:val="20"/>
              </w:rPr>
            </w:pPr>
            <w:r w:rsidRPr="00816DDD">
              <w:rPr>
                <w:rFonts w:hint="cs"/>
                <w:sz w:val="20"/>
                <w:szCs w:val="20"/>
              </w:rPr>
              <w:t>0.0116</w:t>
            </w:r>
          </w:p>
        </w:tc>
        <w:tc>
          <w:tcPr>
            <w:tcW w:w="1018" w:type="dxa"/>
            <w:tcBorders>
              <w:top w:val="single" w:sz="4" w:space="0" w:color="auto"/>
              <w:left w:val="single" w:sz="4" w:space="0" w:color="auto"/>
              <w:bottom w:val="single" w:sz="4" w:space="0" w:color="auto"/>
              <w:right w:val="single" w:sz="4" w:space="0" w:color="auto"/>
            </w:tcBorders>
          </w:tcPr>
          <w:p w14:paraId="2B82F7D1" w14:textId="77777777" w:rsidR="00B859CC" w:rsidRPr="00816DDD" w:rsidRDefault="00B859CC" w:rsidP="00352CE6">
            <w:pPr>
              <w:widowControl w:val="0"/>
              <w:contextualSpacing/>
              <w:jc w:val="right"/>
              <w:rPr>
                <w:sz w:val="20"/>
                <w:szCs w:val="20"/>
              </w:rPr>
            </w:pPr>
            <w:r w:rsidRPr="00816DDD">
              <w:rPr>
                <w:rFonts w:hint="cs"/>
                <w:sz w:val="20"/>
                <w:szCs w:val="20"/>
              </w:rPr>
              <w:t>1.7327</w:t>
            </w:r>
          </w:p>
        </w:tc>
        <w:tc>
          <w:tcPr>
            <w:tcW w:w="1018" w:type="dxa"/>
            <w:tcBorders>
              <w:top w:val="single" w:sz="4" w:space="0" w:color="auto"/>
              <w:left w:val="single" w:sz="4" w:space="0" w:color="auto"/>
              <w:bottom w:val="single" w:sz="4" w:space="0" w:color="auto"/>
              <w:right w:val="single" w:sz="4" w:space="0" w:color="auto"/>
            </w:tcBorders>
          </w:tcPr>
          <w:p w14:paraId="5A69E4D1" w14:textId="77777777" w:rsidR="00B859CC" w:rsidRPr="00816DDD" w:rsidRDefault="00B859CC" w:rsidP="00352CE6">
            <w:pPr>
              <w:widowControl w:val="0"/>
              <w:contextualSpacing/>
              <w:jc w:val="right"/>
              <w:rPr>
                <w:sz w:val="20"/>
                <w:szCs w:val="20"/>
              </w:rPr>
            </w:pPr>
            <w:r w:rsidRPr="00816DDD">
              <w:rPr>
                <w:rFonts w:hint="cs"/>
                <w:sz w:val="20"/>
                <w:szCs w:val="20"/>
              </w:rPr>
              <w:t>1.3650</w:t>
            </w:r>
          </w:p>
        </w:tc>
        <w:tc>
          <w:tcPr>
            <w:tcW w:w="955" w:type="dxa"/>
            <w:gridSpan w:val="2"/>
            <w:tcBorders>
              <w:top w:val="single" w:sz="4" w:space="0" w:color="auto"/>
              <w:left w:val="single" w:sz="4" w:space="0" w:color="auto"/>
              <w:bottom w:val="single" w:sz="4" w:space="0" w:color="auto"/>
              <w:right w:val="single" w:sz="4" w:space="0" w:color="auto"/>
            </w:tcBorders>
          </w:tcPr>
          <w:p w14:paraId="2B7C023D" w14:textId="77777777" w:rsidR="00B859CC" w:rsidRPr="00816DDD" w:rsidRDefault="00B859CC" w:rsidP="00352CE6">
            <w:pPr>
              <w:widowControl w:val="0"/>
              <w:contextualSpacing/>
              <w:jc w:val="right"/>
              <w:rPr>
                <w:sz w:val="20"/>
                <w:szCs w:val="20"/>
              </w:rPr>
            </w:pPr>
            <w:r w:rsidRPr="00816DDD">
              <w:rPr>
                <w:rFonts w:hint="cs"/>
                <w:sz w:val="20"/>
                <w:szCs w:val="20"/>
              </w:rPr>
              <w:t>.9668</w:t>
            </w:r>
          </w:p>
        </w:tc>
      </w:tr>
      <w:tr w:rsidR="00816DDD" w:rsidRPr="00816DDD" w14:paraId="233DD227" w14:textId="77777777" w:rsidTr="00352CE6">
        <w:tc>
          <w:tcPr>
            <w:tcW w:w="805" w:type="dxa"/>
            <w:tcBorders>
              <w:top w:val="single" w:sz="4" w:space="0" w:color="auto"/>
              <w:left w:val="single" w:sz="4" w:space="0" w:color="auto"/>
              <w:bottom w:val="single" w:sz="4" w:space="0" w:color="auto"/>
              <w:right w:val="single" w:sz="4" w:space="0" w:color="auto"/>
            </w:tcBorders>
          </w:tcPr>
          <w:p w14:paraId="6453B828" w14:textId="77777777" w:rsidR="00B859CC" w:rsidRPr="00816DDD" w:rsidRDefault="00B859CC" w:rsidP="00352CE6">
            <w:pPr>
              <w:widowControl w:val="0"/>
              <w:ind w:left="-15"/>
              <w:contextualSpacing/>
              <w:jc w:val="center"/>
              <w:rPr>
                <w:b/>
                <w:sz w:val="20"/>
                <w:szCs w:val="20"/>
              </w:rPr>
            </w:pPr>
            <w:r w:rsidRPr="00816DDD">
              <w:rPr>
                <w:rFonts w:hint="cs"/>
                <w:b/>
                <w:sz w:val="20"/>
                <w:szCs w:val="20"/>
              </w:rPr>
              <w:t>EUR</w:t>
            </w:r>
          </w:p>
        </w:tc>
        <w:tc>
          <w:tcPr>
            <w:tcW w:w="1017" w:type="dxa"/>
            <w:tcBorders>
              <w:top w:val="single" w:sz="4" w:space="0" w:color="auto"/>
              <w:left w:val="single" w:sz="4" w:space="0" w:color="auto"/>
              <w:bottom w:val="single" w:sz="4" w:space="0" w:color="auto"/>
              <w:right w:val="single" w:sz="4" w:space="0" w:color="auto"/>
            </w:tcBorders>
          </w:tcPr>
          <w:p w14:paraId="7ACCB11E" w14:textId="77777777" w:rsidR="00B859CC" w:rsidRPr="00816DDD" w:rsidRDefault="00B859CC" w:rsidP="00352CE6">
            <w:pPr>
              <w:widowControl w:val="0"/>
              <w:contextualSpacing/>
              <w:jc w:val="right"/>
              <w:rPr>
                <w:sz w:val="20"/>
                <w:szCs w:val="20"/>
              </w:rPr>
            </w:pPr>
            <w:r w:rsidRPr="00816DDD">
              <w:rPr>
                <w:rFonts w:hint="cs"/>
                <w:sz w:val="20"/>
                <w:szCs w:val="20"/>
              </w:rPr>
              <w:t>0.8282</w:t>
            </w:r>
          </w:p>
        </w:tc>
        <w:tc>
          <w:tcPr>
            <w:tcW w:w="944" w:type="dxa"/>
            <w:tcBorders>
              <w:top w:val="single" w:sz="4" w:space="0" w:color="auto"/>
              <w:left w:val="single" w:sz="4" w:space="0" w:color="auto"/>
              <w:bottom w:val="single" w:sz="4" w:space="0" w:color="auto"/>
              <w:right w:val="single" w:sz="4" w:space="0" w:color="auto"/>
            </w:tcBorders>
          </w:tcPr>
          <w:p w14:paraId="19B3BCE5" w14:textId="77777777" w:rsidR="00B859CC" w:rsidRPr="00816DDD" w:rsidRDefault="00B859CC" w:rsidP="00352CE6">
            <w:pPr>
              <w:widowControl w:val="0"/>
              <w:ind w:left="-14"/>
              <w:contextualSpacing/>
              <w:jc w:val="right"/>
              <w:rPr>
                <w:sz w:val="20"/>
                <w:szCs w:val="20"/>
              </w:rPr>
            </w:pPr>
            <w:r w:rsidRPr="00816DDD">
              <w:rPr>
                <w:rFonts w:hint="cs"/>
                <w:sz w:val="20"/>
                <w:szCs w:val="20"/>
              </w:rPr>
              <w:t>0.6633</w:t>
            </w:r>
          </w:p>
        </w:tc>
        <w:tc>
          <w:tcPr>
            <w:tcW w:w="1104" w:type="dxa"/>
            <w:tcBorders>
              <w:top w:val="single" w:sz="4" w:space="0" w:color="auto"/>
              <w:left w:val="single" w:sz="4" w:space="0" w:color="auto"/>
              <w:bottom w:val="single" w:sz="4" w:space="0" w:color="auto"/>
              <w:right w:val="single" w:sz="4" w:space="0" w:color="auto"/>
            </w:tcBorders>
          </w:tcPr>
          <w:p w14:paraId="1F624D5F" w14:textId="77777777" w:rsidR="00B859CC" w:rsidRPr="00816DDD" w:rsidRDefault="00B859CC" w:rsidP="00352CE6">
            <w:pPr>
              <w:widowControl w:val="0"/>
              <w:contextualSpacing/>
              <w:jc w:val="right"/>
              <w:rPr>
                <w:sz w:val="20"/>
                <w:szCs w:val="20"/>
              </w:rPr>
            </w:pPr>
            <w:r w:rsidRPr="00816DDD">
              <w:rPr>
                <w:rFonts w:hint="cs"/>
                <w:sz w:val="20"/>
                <w:szCs w:val="20"/>
              </w:rPr>
              <w:t>1.0000</w:t>
            </w:r>
          </w:p>
        </w:tc>
        <w:tc>
          <w:tcPr>
            <w:tcW w:w="1080" w:type="dxa"/>
            <w:tcBorders>
              <w:top w:val="single" w:sz="4" w:space="0" w:color="auto"/>
              <w:left w:val="single" w:sz="4" w:space="0" w:color="auto"/>
              <w:bottom w:val="single" w:sz="4" w:space="0" w:color="auto"/>
              <w:right w:val="single" w:sz="4" w:space="0" w:color="auto"/>
            </w:tcBorders>
          </w:tcPr>
          <w:p w14:paraId="193F077C" w14:textId="77777777" w:rsidR="00B859CC" w:rsidRPr="00816DDD" w:rsidRDefault="00B859CC" w:rsidP="00352CE6">
            <w:pPr>
              <w:widowControl w:val="0"/>
              <w:contextualSpacing/>
              <w:jc w:val="right"/>
              <w:rPr>
                <w:sz w:val="20"/>
                <w:szCs w:val="20"/>
              </w:rPr>
            </w:pPr>
            <w:r w:rsidRPr="00816DDD">
              <w:rPr>
                <w:rFonts w:hint="cs"/>
                <w:sz w:val="20"/>
                <w:szCs w:val="20"/>
              </w:rPr>
              <w:t>0.0418</w:t>
            </w:r>
          </w:p>
        </w:tc>
        <w:tc>
          <w:tcPr>
            <w:tcW w:w="887" w:type="dxa"/>
            <w:tcBorders>
              <w:top w:val="single" w:sz="4" w:space="0" w:color="auto"/>
              <w:left w:val="single" w:sz="4" w:space="0" w:color="auto"/>
              <w:bottom w:val="single" w:sz="4" w:space="0" w:color="auto"/>
              <w:right w:val="single" w:sz="4" w:space="0" w:color="auto"/>
            </w:tcBorders>
          </w:tcPr>
          <w:p w14:paraId="220EEEF3" w14:textId="77777777" w:rsidR="00B859CC" w:rsidRPr="00816DDD" w:rsidRDefault="00B859CC" w:rsidP="00352CE6">
            <w:pPr>
              <w:widowControl w:val="0"/>
              <w:contextualSpacing/>
              <w:jc w:val="right"/>
              <w:rPr>
                <w:sz w:val="20"/>
                <w:szCs w:val="20"/>
              </w:rPr>
            </w:pPr>
            <w:r w:rsidRPr="00816DDD">
              <w:rPr>
                <w:rFonts w:hint="cs"/>
                <w:sz w:val="20"/>
                <w:szCs w:val="20"/>
              </w:rPr>
              <w:t>0.0077</w:t>
            </w:r>
          </w:p>
        </w:tc>
        <w:tc>
          <w:tcPr>
            <w:tcW w:w="1018" w:type="dxa"/>
            <w:tcBorders>
              <w:top w:val="single" w:sz="4" w:space="0" w:color="auto"/>
              <w:left w:val="single" w:sz="4" w:space="0" w:color="auto"/>
              <w:bottom w:val="single" w:sz="4" w:space="0" w:color="auto"/>
              <w:right w:val="single" w:sz="4" w:space="0" w:color="auto"/>
            </w:tcBorders>
          </w:tcPr>
          <w:p w14:paraId="31F19E05" w14:textId="77777777" w:rsidR="00B859CC" w:rsidRPr="00816DDD" w:rsidRDefault="00B859CC" w:rsidP="00352CE6">
            <w:pPr>
              <w:widowControl w:val="0"/>
              <w:contextualSpacing/>
              <w:jc w:val="right"/>
              <w:rPr>
                <w:sz w:val="20"/>
                <w:szCs w:val="20"/>
              </w:rPr>
            </w:pPr>
            <w:r w:rsidRPr="00816DDD">
              <w:rPr>
                <w:rFonts w:hint="cs"/>
                <w:sz w:val="20"/>
                <w:szCs w:val="20"/>
              </w:rPr>
              <w:t>1.1494</w:t>
            </w:r>
          </w:p>
        </w:tc>
        <w:tc>
          <w:tcPr>
            <w:tcW w:w="1018" w:type="dxa"/>
            <w:tcBorders>
              <w:top w:val="single" w:sz="4" w:space="0" w:color="auto"/>
              <w:left w:val="single" w:sz="4" w:space="0" w:color="auto"/>
              <w:bottom w:val="single" w:sz="4" w:space="0" w:color="auto"/>
              <w:right w:val="single" w:sz="4" w:space="0" w:color="auto"/>
            </w:tcBorders>
          </w:tcPr>
          <w:p w14:paraId="1D47F312" w14:textId="77777777" w:rsidR="00B859CC" w:rsidRPr="00816DDD" w:rsidRDefault="00B859CC" w:rsidP="00352CE6">
            <w:pPr>
              <w:widowControl w:val="0"/>
              <w:contextualSpacing/>
              <w:jc w:val="right"/>
              <w:rPr>
                <w:sz w:val="20"/>
                <w:szCs w:val="20"/>
              </w:rPr>
            </w:pPr>
            <w:r w:rsidRPr="00816DDD">
              <w:rPr>
                <w:rFonts w:hint="cs"/>
                <w:sz w:val="20"/>
                <w:szCs w:val="20"/>
              </w:rPr>
              <w:t>0.9055</w:t>
            </w:r>
          </w:p>
        </w:tc>
        <w:tc>
          <w:tcPr>
            <w:tcW w:w="955" w:type="dxa"/>
            <w:gridSpan w:val="2"/>
            <w:tcBorders>
              <w:top w:val="single" w:sz="4" w:space="0" w:color="auto"/>
              <w:left w:val="single" w:sz="4" w:space="0" w:color="auto"/>
              <w:bottom w:val="single" w:sz="4" w:space="0" w:color="auto"/>
              <w:right w:val="single" w:sz="4" w:space="0" w:color="auto"/>
            </w:tcBorders>
          </w:tcPr>
          <w:p w14:paraId="6C44B76D" w14:textId="77777777" w:rsidR="00B859CC" w:rsidRPr="00816DDD" w:rsidRDefault="00B859CC" w:rsidP="00352CE6">
            <w:pPr>
              <w:widowControl w:val="0"/>
              <w:contextualSpacing/>
              <w:jc w:val="right"/>
              <w:rPr>
                <w:sz w:val="20"/>
                <w:szCs w:val="20"/>
              </w:rPr>
            </w:pPr>
            <w:r w:rsidRPr="00816DDD">
              <w:rPr>
                <w:rFonts w:hint="cs"/>
                <w:sz w:val="20"/>
                <w:szCs w:val="20"/>
              </w:rPr>
              <w:t>0.6413</w:t>
            </w:r>
          </w:p>
        </w:tc>
      </w:tr>
      <w:tr w:rsidR="00816DDD" w:rsidRPr="00816DDD" w14:paraId="724DBC13" w14:textId="77777777" w:rsidTr="00352CE6">
        <w:tc>
          <w:tcPr>
            <w:tcW w:w="805" w:type="dxa"/>
            <w:tcBorders>
              <w:top w:val="single" w:sz="4" w:space="0" w:color="auto"/>
              <w:left w:val="single" w:sz="4" w:space="0" w:color="auto"/>
              <w:bottom w:val="single" w:sz="4" w:space="0" w:color="auto"/>
              <w:right w:val="single" w:sz="4" w:space="0" w:color="auto"/>
            </w:tcBorders>
          </w:tcPr>
          <w:p w14:paraId="15B3D7E5" w14:textId="77777777" w:rsidR="00B859CC" w:rsidRPr="00816DDD" w:rsidRDefault="00B859CC" w:rsidP="00352CE6">
            <w:pPr>
              <w:widowControl w:val="0"/>
              <w:ind w:left="-15"/>
              <w:contextualSpacing/>
              <w:jc w:val="center"/>
              <w:rPr>
                <w:b/>
                <w:sz w:val="20"/>
                <w:szCs w:val="20"/>
              </w:rPr>
            </w:pPr>
            <w:r w:rsidRPr="00816DDD">
              <w:rPr>
                <w:rFonts w:hint="cs"/>
                <w:b/>
                <w:sz w:val="20"/>
                <w:szCs w:val="20"/>
              </w:rPr>
              <w:t>MXN</w:t>
            </w:r>
          </w:p>
        </w:tc>
        <w:tc>
          <w:tcPr>
            <w:tcW w:w="1017" w:type="dxa"/>
            <w:tcBorders>
              <w:top w:val="single" w:sz="4" w:space="0" w:color="auto"/>
              <w:left w:val="single" w:sz="4" w:space="0" w:color="auto"/>
              <w:bottom w:val="single" w:sz="4" w:space="0" w:color="auto"/>
              <w:right w:val="single" w:sz="4" w:space="0" w:color="auto"/>
            </w:tcBorders>
          </w:tcPr>
          <w:p w14:paraId="2F6E28BC" w14:textId="77777777" w:rsidR="00B859CC" w:rsidRPr="00816DDD" w:rsidRDefault="00B859CC" w:rsidP="00352CE6">
            <w:pPr>
              <w:widowControl w:val="0"/>
              <w:contextualSpacing/>
              <w:jc w:val="right"/>
              <w:rPr>
                <w:sz w:val="20"/>
                <w:szCs w:val="20"/>
              </w:rPr>
            </w:pPr>
            <w:r w:rsidRPr="00816DDD">
              <w:rPr>
                <w:rFonts w:hint="cs"/>
                <w:sz w:val="20"/>
                <w:szCs w:val="20"/>
              </w:rPr>
              <w:t>19.8370</w:t>
            </w:r>
          </w:p>
        </w:tc>
        <w:tc>
          <w:tcPr>
            <w:tcW w:w="944" w:type="dxa"/>
            <w:tcBorders>
              <w:top w:val="single" w:sz="4" w:space="0" w:color="auto"/>
              <w:left w:val="single" w:sz="4" w:space="0" w:color="auto"/>
              <w:bottom w:val="single" w:sz="4" w:space="0" w:color="auto"/>
              <w:right w:val="single" w:sz="4" w:space="0" w:color="auto"/>
            </w:tcBorders>
          </w:tcPr>
          <w:p w14:paraId="301D8525" w14:textId="77777777" w:rsidR="00B859CC" w:rsidRPr="00816DDD" w:rsidRDefault="00B859CC" w:rsidP="00352CE6">
            <w:pPr>
              <w:widowControl w:val="0"/>
              <w:ind w:left="-14"/>
              <w:contextualSpacing/>
              <w:jc w:val="right"/>
              <w:rPr>
                <w:sz w:val="20"/>
                <w:szCs w:val="20"/>
              </w:rPr>
            </w:pPr>
            <w:r w:rsidRPr="00816DDD">
              <w:rPr>
                <w:rFonts w:hint="cs"/>
                <w:sz w:val="20"/>
                <w:szCs w:val="20"/>
              </w:rPr>
              <w:t>15.8874</w:t>
            </w:r>
          </w:p>
        </w:tc>
        <w:tc>
          <w:tcPr>
            <w:tcW w:w="1104" w:type="dxa"/>
            <w:tcBorders>
              <w:top w:val="single" w:sz="4" w:space="0" w:color="auto"/>
              <w:left w:val="single" w:sz="4" w:space="0" w:color="auto"/>
              <w:bottom w:val="single" w:sz="4" w:space="0" w:color="auto"/>
              <w:right w:val="single" w:sz="4" w:space="0" w:color="auto"/>
            </w:tcBorders>
          </w:tcPr>
          <w:p w14:paraId="7789B5E7" w14:textId="77777777" w:rsidR="00B859CC" w:rsidRPr="00816DDD" w:rsidRDefault="00B859CC" w:rsidP="00352CE6">
            <w:pPr>
              <w:widowControl w:val="0"/>
              <w:contextualSpacing/>
              <w:jc w:val="right"/>
              <w:rPr>
                <w:sz w:val="20"/>
                <w:szCs w:val="20"/>
              </w:rPr>
            </w:pPr>
            <w:r w:rsidRPr="00816DDD">
              <w:rPr>
                <w:rFonts w:hint="cs"/>
                <w:sz w:val="20"/>
                <w:szCs w:val="20"/>
              </w:rPr>
              <w:t>23.9512</w:t>
            </w:r>
          </w:p>
        </w:tc>
        <w:tc>
          <w:tcPr>
            <w:tcW w:w="1080" w:type="dxa"/>
            <w:tcBorders>
              <w:top w:val="single" w:sz="4" w:space="0" w:color="auto"/>
              <w:left w:val="single" w:sz="4" w:space="0" w:color="auto"/>
              <w:bottom w:val="single" w:sz="4" w:space="0" w:color="auto"/>
              <w:right w:val="single" w:sz="4" w:space="0" w:color="auto"/>
            </w:tcBorders>
          </w:tcPr>
          <w:p w14:paraId="79145A79" w14:textId="77777777" w:rsidR="00B859CC" w:rsidRPr="00816DDD" w:rsidRDefault="00B859CC" w:rsidP="00352CE6">
            <w:pPr>
              <w:widowControl w:val="0"/>
              <w:contextualSpacing/>
              <w:jc w:val="right"/>
              <w:rPr>
                <w:sz w:val="20"/>
                <w:szCs w:val="20"/>
              </w:rPr>
            </w:pPr>
            <w:r w:rsidRPr="00816DDD">
              <w:rPr>
                <w:rFonts w:hint="cs"/>
                <w:sz w:val="20"/>
                <w:szCs w:val="20"/>
              </w:rPr>
              <w:t>1.0000</w:t>
            </w:r>
          </w:p>
        </w:tc>
        <w:tc>
          <w:tcPr>
            <w:tcW w:w="887" w:type="dxa"/>
            <w:tcBorders>
              <w:top w:val="single" w:sz="4" w:space="0" w:color="auto"/>
              <w:left w:val="single" w:sz="4" w:space="0" w:color="auto"/>
              <w:bottom w:val="single" w:sz="4" w:space="0" w:color="auto"/>
              <w:right w:val="single" w:sz="4" w:space="0" w:color="auto"/>
            </w:tcBorders>
          </w:tcPr>
          <w:p w14:paraId="1CDFC207" w14:textId="77777777" w:rsidR="00B859CC" w:rsidRPr="00816DDD" w:rsidRDefault="00B859CC" w:rsidP="00352CE6">
            <w:pPr>
              <w:widowControl w:val="0"/>
              <w:contextualSpacing/>
              <w:jc w:val="right"/>
              <w:rPr>
                <w:sz w:val="20"/>
                <w:szCs w:val="20"/>
              </w:rPr>
            </w:pPr>
            <w:r w:rsidRPr="00816DDD">
              <w:rPr>
                <w:rFonts w:hint="cs"/>
                <w:sz w:val="20"/>
                <w:szCs w:val="20"/>
              </w:rPr>
              <w:t>0.1844</w:t>
            </w:r>
          </w:p>
        </w:tc>
        <w:tc>
          <w:tcPr>
            <w:tcW w:w="1018" w:type="dxa"/>
            <w:tcBorders>
              <w:top w:val="single" w:sz="4" w:space="0" w:color="auto"/>
              <w:left w:val="single" w:sz="4" w:space="0" w:color="auto"/>
              <w:bottom w:val="single" w:sz="4" w:space="0" w:color="auto"/>
              <w:right w:val="single" w:sz="4" w:space="0" w:color="auto"/>
            </w:tcBorders>
          </w:tcPr>
          <w:p w14:paraId="4F2359F0" w14:textId="77777777" w:rsidR="00B859CC" w:rsidRPr="00816DDD" w:rsidRDefault="00B859CC" w:rsidP="00352CE6">
            <w:pPr>
              <w:widowControl w:val="0"/>
              <w:contextualSpacing/>
              <w:jc w:val="right"/>
              <w:rPr>
                <w:sz w:val="20"/>
                <w:szCs w:val="20"/>
              </w:rPr>
            </w:pPr>
            <w:r w:rsidRPr="00816DDD">
              <w:rPr>
                <w:rFonts w:hint="cs"/>
                <w:sz w:val="20"/>
                <w:szCs w:val="20"/>
              </w:rPr>
              <w:t>27.5288</w:t>
            </w:r>
          </w:p>
        </w:tc>
        <w:tc>
          <w:tcPr>
            <w:tcW w:w="1018" w:type="dxa"/>
            <w:tcBorders>
              <w:top w:val="single" w:sz="4" w:space="0" w:color="auto"/>
              <w:left w:val="single" w:sz="4" w:space="0" w:color="auto"/>
              <w:bottom w:val="single" w:sz="4" w:space="0" w:color="auto"/>
              <w:right w:val="single" w:sz="4" w:space="0" w:color="auto"/>
            </w:tcBorders>
          </w:tcPr>
          <w:p w14:paraId="1A3E2C66" w14:textId="77777777" w:rsidR="00B859CC" w:rsidRPr="00816DDD" w:rsidRDefault="00B859CC" w:rsidP="00352CE6">
            <w:pPr>
              <w:widowControl w:val="0"/>
              <w:contextualSpacing/>
              <w:jc w:val="right"/>
              <w:rPr>
                <w:sz w:val="20"/>
                <w:szCs w:val="20"/>
              </w:rPr>
            </w:pPr>
            <w:r w:rsidRPr="00816DDD">
              <w:rPr>
                <w:rFonts w:hint="cs"/>
                <w:sz w:val="20"/>
                <w:szCs w:val="20"/>
              </w:rPr>
              <w:t>21.6869</w:t>
            </w:r>
          </w:p>
        </w:tc>
        <w:tc>
          <w:tcPr>
            <w:tcW w:w="955" w:type="dxa"/>
            <w:gridSpan w:val="2"/>
            <w:tcBorders>
              <w:top w:val="single" w:sz="4" w:space="0" w:color="auto"/>
              <w:left w:val="single" w:sz="4" w:space="0" w:color="auto"/>
              <w:bottom w:val="single" w:sz="4" w:space="0" w:color="auto"/>
              <w:right w:val="single" w:sz="4" w:space="0" w:color="auto"/>
            </w:tcBorders>
          </w:tcPr>
          <w:p w14:paraId="5E3A0138" w14:textId="77777777" w:rsidR="00B859CC" w:rsidRPr="00816DDD" w:rsidRDefault="00B859CC" w:rsidP="00352CE6">
            <w:pPr>
              <w:widowControl w:val="0"/>
              <w:contextualSpacing/>
              <w:jc w:val="right"/>
              <w:rPr>
                <w:sz w:val="20"/>
                <w:szCs w:val="20"/>
              </w:rPr>
            </w:pPr>
            <w:r w:rsidRPr="00816DDD">
              <w:rPr>
                <w:rFonts w:hint="cs"/>
                <w:sz w:val="20"/>
                <w:szCs w:val="20"/>
              </w:rPr>
              <w:t>15.3598</w:t>
            </w:r>
          </w:p>
        </w:tc>
      </w:tr>
      <w:tr w:rsidR="00816DDD" w:rsidRPr="00816DDD" w14:paraId="3F7E5884" w14:textId="77777777" w:rsidTr="00352CE6">
        <w:tc>
          <w:tcPr>
            <w:tcW w:w="805" w:type="dxa"/>
            <w:tcBorders>
              <w:top w:val="single" w:sz="4" w:space="0" w:color="auto"/>
              <w:left w:val="single" w:sz="4" w:space="0" w:color="auto"/>
              <w:bottom w:val="single" w:sz="4" w:space="0" w:color="auto"/>
              <w:right w:val="single" w:sz="4" w:space="0" w:color="auto"/>
            </w:tcBorders>
          </w:tcPr>
          <w:p w14:paraId="2B3512F9" w14:textId="77777777" w:rsidR="00B859CC" w:rsidRPr="00816DDD" w:rsidRDefault="00B859CC" w:rsidP="00352CE6">
            <w:pPr>
              <w:widowControl w:val="0"/>
              <w:ind w:left="-15"/>
              <w:contextualSpacing/>
              <w:jc w:val="center"/>
              <w:rPr>
                <w:b/>
                <w:sz w:val="20"/>
                <w:szCs w:val="20"/>
              </w:rPr>
            </w:pPr>
            <w:r w:rsidRPr="00816DDD">
              <w:rPr>
                <w:rFonts w:hint="cs"/>
                <w:b/>
                <w:sz w:val="20"/>
                <w:szCs w:val="20"/>
              </w:rPr>
              <w:t>JPY</w:t>
            </w:r>
          </w:p>
        </w:tc>
        <w:tc>
          <w:tcPr>
            <w:tcW w:w="1017" w:type="dxa"/>
            <w:tcBorders>
              <w:top w:val="single" w:sz="4" w:space="0" w:color="auto"/>
              <w:left w:val="single" w:sz="4" w:space="0" w:color="auto"/>
              <w:bottom w:val="single" w:sz="4" w:space="0" w:color="auto"/>
              <w:right w:val="single" w:sz="4" w:space="0" w:color="auto"/>
            </w:tcBorders>
          </w:tcPr>
          <w:p w14:paraId="2E25ADDB" w14:textId="77777777" w:rsidR="00B859CC" w:rsidRPr="00816DDD" w:rsidRDefault="00B859CC" w:rsidP="00352CE6">
            <w:pPr>
              <w:widowControl w:val="0"/>
              <w:contextualSpacing/>
              <w:jc w:val="right"/>
              <w:rPr>
                <w:sz w:val="20"/>
                <w:szCs w:val="20"/>
              </w:rPr>
            </w:pPr>
            <w:r w:rsidRPr="00816DDD">
              <w:rPr>
                <w:rFonts w:hint="cs"/>
                <w:sz w:val="20"/>
                <w:szCs w:val="20"/>
              </w:rPr>
              <w:t>107.5600</w:t>
            </w:r>
          </w:p>
        </w:tc>
        <w:tc>
          <w:tcPr>
            <w:tcW w:w="944" w:type="dxa"/>
            <w:tcBorders>
              <w:top w:val="single" w:sz="4" w:space="0" w:color="auto"/>
              <w:left w:val="single" w:sz="4" w:space="0" w:color="auto"/>
              <w:bottom w:val="single" w:sz="4" w:space="0" w:color="auto"/>
              <w:right w:val="single" w:sz="4" w:space="0" w:color="auto"/>
            </w:tcBorders>
          </w:tcPr>
          <w:p w14:paraId="768B6466" w14:textId="77777777" w:rsidR="00B859CC" w:rsidRPr="00816DDD" w:rsidRDefault="00B859CC" w:rsidP="00352CE6">
            <w:pPr>
              <w:widowControl w:val="0"/>
              <w:ind w:left="-14"/>
              <w:contextualSpacing/>
              <w:jc w:val="right"/>
              <w:rPr>
                <w:sz w:val="20"/>
                <w:szCs w:val="20"/>
              </w:rPr>
            </w:pPr>
            <w:r w:rsidRPr="00816DDD">
              <w:rPr>
                <w:rFonts w:hint="cs"/>
                <w:sz w:val="20"/>
                <w:szCs w:val="20"/>
              </w:rPr>
              <w:t>86.1400</w:t>
            </w:r>
          </w:p>
        </w:tc>
        <w:tc>
          <w:tcPr>
            <w:tcW w:w="1104" w:type="dxa"/>
            <w:tcBorders>
              <w:top w:val="single" w:sz="4" w:space="0" w:color="auto"/>
              <w:left w:val="single" w:sz="4" w:space="0" w:color="auto"/>
              <w:bottom w:val="single" w:sz="4" w:space="0" w:color="auto"/>
              <w:right w:val="single" w:sz="4" w:space="0" w:color="auto"/>
            </w:tcBorders>
          </w:tcPr>
          <w:p w14:paraId="5C97A5F2" w14:textId="77777777" w:rsidR="00B859CC" w:rsidRPr="00816DDD" w:rsidRDefault="00B859CC" w:rsidP="00352CE6">
            <w:pPr>
              <w:widowControl w:val="0"/>
              <w:contextualSpacing/>
              <w:jc w:val="right"/>
              <w:rPr>
                <w:sz w:val="20"/>
                <w:szCs w:val="20"/>
              </w:rPr>
            </w:pPr>
            <w:r w:rsidRPr="00816DDD">
              <w:rPr>
                <w:rFonts w:hint="cs"/>
                <w:sz w:val="20"/>
                <w:szCs w:val="20"/>
              </w:rPr>
              <w:t>129.8600</w:t>
            </w:r>
          </w:p>
        </w:tc>
        <w:tc>
          <w:tcPr>
            <w:tcW w:w="1080" w:type="dxa"/>
            <w:tcBorders>
              <w:top w:val="single" w:sz="4" w:space="0" w:color="auto"/>
              <w:left w:val="single" w:sz="4" w:space="0" w:color="auto"/>
              <w:bottom w:val="single" w:sz="4" w:space="0" w:color="auto"/>
              <w:right w:val="single" w:sz="4" w:space="0" w:color="auto"/>
            </w:tcBorders>
          </w:tcPr>
          <w:p w14:paraId="40C62FB9" w14:textId="77777777" w:rsidR="00B859CC" w:rsidRPr="00816DDD" w:rsidRDefault="00B859CC" w:rsidP="00352CE6">
            <w:pPr>
              <w:widowControl w:val="0"/>
              <w:contextualSpacing/>
              <w:jc w:val="right"/>
              <w:rPr>
                <w:sz w:val="20"/>
                <w:szCs w:val="20"/>
              </w:rPr>
            </w:pPr>
            <w:r w:rsidRPr="00816DDD">
              <w:rPr>
                <w:rFonts w:hint="cs"/>
                <w:sz w:val="20"/>
                <w:szCs w:val="20"/>
              </w:rPr>
              <w:t>5.4200</w:t>
            </w:r>
          </w:p>
        </w:tc>
        <w:tc>
          <w:tcPr>
            <w:tcW w:w="887" w:type="dxa"/>
            <w:tcBorders>
              <w:top w:val="single" w:sz="4" w:space="0" w:color="auto"/>
              <w:left w:val="single" w:sz="4" w:space="0" w:color="auto"/>
              <w:bottom w:val="single" w:sz="4" w:space="0" w:color="auto"/>
              <w:right w:val="single" w:sz="4" w:space="0" w:color="auto"/>
            </w:tcBorders>
          </w:tcPr>
          <w:p w14:paraId="0E219AE3" w14:textId="77777777" w:rsidR="00B859CC" w:rsidRPr="00816DDD" w:rsidRDefault="00B859CC" w:rsidP="00352CE6">
            <w:pPr>
              <w:widowControl w:val="0"/>
              <w:contextualSpacing/>
              <w:jc w:val="right"/>
              <w:rPr>
                <w:sz w:val="20"/>
                <w:szCs w:val="20"/>
              </w:rPr>
            </w:pPr>
            <w:r w:rsidRPr="00816DDD">
              <w:rPr>
                <w:rFonts w:hint="cs"/>
                <w:sz w:val="20"/>
                <w:szCs w:val="20"/>
              </w:rPr>
              <w:t>1.0000</w:t>
            </w:r>
          </w:p>
        </w:tc>
        <w:tc>
          <w:tcPr>
            <w:tcW w:w="1018" w:type="dxa"/>
            <w:tcBorders>
              <w:top w:val="single" w:sz="4" w:space="0" w:color="auto"/>
              <w:left w:val="single" w:sz="4" w:space="0" w:color="auto"/>
              <w:bottom w:val="single" w:sz="4" w:space="0" w:color="auto"/>
              <w:right w:val="single" w:sz="4" w:space="0" w:color="auto"/>
            </w:tcBorders>
          </w:tcPr>
          <w:p w14:paraId="3A3F9F4D" w14:textId="77777777" w:rsidR="00B859CC" w:rsidRPr="00816DDD" w:rsidRDefault="00B859CC" w:rsidP="00352CE6">
            <w:pPr>
              <w:widowControl w:val="0"/>
              <w:contextualSpacing/>
              <w:jc w:val="right"/>
              <w:rPr>
                <w:sz w:val="20"/>
                <w:szCs w:val="20"/>
              </w:rPr>
            </w:pPr>
            <w:r w:rsidRPr="00816DDD">
              <w:rPr>
                <w:rFonts w:hint="cs"/>
                <w:sz w:val="20"/>
                <w:szCs w:val="20"/>
              </w:rPr>
              <w:t>149.2600</w:t>
            </w:r>
          </w:p>
        </w:tc>
        <w:tc>
          <w:tcPr>
            <w:tcW w:w="1018" w:type="dxa"/>
            <w:tcBorders>
              <w:top w:val="single" w:sz="4" w:space="0" w:color="auto"/>
              <w:left w:val="single" w:sz="4" w:space="0" w:color="auto"/>
              <w:bottom w:val="single" w:sz="4" w:space="0" w:color="auto"/>
              <w:right w:val="single" w:sz="4" w:space="0" w:color="auto"/>
            </w:tcBorders>
          </w:tcPr>
          <w:p w14:paraId="35CF2696" w14:textId="77777777" w:rsidR="00B859CC" w:rsidRPr="00816DDD" w:rsidRDefault="00B859CC" w:rsidP="00352CE6">
            <w:pPr>
              <w:widowControl w:val="0"/>
              <w:contextualSpacing/>
              <w:jc w:val="right"/>
              <w:rPr>
                <w:sz w:val="20"/>
                <w:szCs w:val="20"/>
              </w:rPr>
            </w:pPr>
            <w:r w:rsidRPr="00816DDD">
              <w:rPr>
                <w:rFonts w:hint="cs"/>
                <w:sz w:val="20"/>
                <w:szCs w:val="20"/>
              </w:rPr>
              <w:t>117.5900</w:t>
            </w:r>
          </w:p>
        </w:tc>
        <w:tc>
          <w:tcPr>
            <w:tcW w:w="955" w:type="dxa"/>
            <w:gridSpan w:val="2"/>
            <w:tcBorders>
              <w:top w:val="single" w:sz="4" w:space="0" w:color="auto"/>
              <w:left w:val="single" w:sz="4" w:space="0" w:color="auto"/>
              <w:bottom w:val="single" w:sz="4" w:space="0" w:color="auto"/>
              <w:right w:val="single" w:sz="4" w:space="0" w:color="auto"/>
            </w:tcBorders>
          </w:tcPr>
          <w:p w14:paraId="67082B9F" w14:textId="77777777" w:rsidR="00B859CC" w:rsidRPr="00816DDD" w:rsidRDefault="00B859CC" w:rsidP="00352CE6">
            <w:pPr>
              <w:widowControl w:val="0"/>
              <w:contextualSpacing/>
              <w:jc w:val="right"/>
              <w:rPr>
                <w:sz w:val="20"/>
                <w:szCs w:val="20"/>
              </w:rPr>
            </w:pPr>
            <w:r w:rsidRPr="00816DDD">
              <w:rPr>
                <w:rFonts w:hint="cs"/>
                <w:sz w:val="20"/>
                <w:szCs w:val="20"/>
              </w:rPr>
              <w:t>83.2800</w:t>
            </w:r>
          </w:p>
        </w:tc>
      </w:tr>
      <w:tr w:rsidR="00816DDD" w:rsidRPr="00816DDD" w14:paraId="22C195DF" w14:textId="77777777" w:rsidTr="00352CE6">
        <w:tc>
          <w:tcPr>
            <w:tcW w:w="805" w:type="dxa"/>
            <w:tcBorders>
              <w:top w:val="single" w:sz="4" w:space="0" w:color="auto"/>
              <w:left w:val="single" w:sz="4" w:space="0" w:color="auto"/>
              <w:bottom w:val="single" w:sz="4" w:space="0" w:color="auto"/>
              <w:right w:val="single" w:sz="4" w:space="0" w:color="auto"/>
            </w:tcBorders>
          </w:tcPr>
          <w:p w14:paraId="6D168D0D" w14:textId="77777777" w:rsidR="00B859CC" w:rsidRPr="00816DDD" w:rsidRDefault="00B859CC" w:rsidP="00352CE6">
            <w:pPr>
              <w:widowControl w:val="0"/>
              <w:ind w:left="-15"/>
              <w:contextualSpacing/>
              <w:jc w:val="center"/>
              <w:rPr>
                <w:b/>
                <w:sz w:val="20"/>
                <w:szCs w:val="20"/>
              </w:rPr>
            </w:pPr>
            <w:r w:rsidRPr="00816DDD">
              <w:rPr>
                <w:rFonts w:hint="cs"/>
                <w:b/>
                <w:sz w:val="20"/>
                <w:szCs w:val="20"/>
              </w:rPr>
              <w:t>GBP</w:t>
            </w:r>
          </w:p>
        </w:tc>
        <w:tc>
          <w:tcPr>
            <w:tcW w:w="1017" w:type="dxa"/>
            <w:tcBorders>
              <w:top w:val="single" w:sz="4" w:space="0" w:color="auto"/>
              <w:left w:val="single" w:sz="4" w:space="0" w:color="auto"/>
              <w:bottom w:val="single" w:sz="4" w:space="0" w:color="auto"/>
              <w:right w:val="single" w:sz="4" w:space="0" w:color="auto"/>
            </w:tcBorders>
          </w:tcPr>
          <w:p w14:paraId="152E2868" w14:textId="77777777" w:rsidR="00B859CC" w:rsidRPr="00816DDD" w:rsidRDefault="00B859CC" w:rsidP="00352CE6">
            <w:pPr>
              <w:widowControl w:val="0"/>
              <w:contextualSpacing/>
              <w:jc w:val="right"/>
              <w:rPr>
                <w:sz w:val="20"/>
                <w:szCs w:val="20"/>
              </w:rPr>
            </w:pPr>
            <w:r w:rsidRPr="00816DDD">
              <w:rPr>
                <w:rFonts w:hint="cs"/>
                <w:sz w:val="20"/>
                <w:szCs w:val="20"/>
              </w:rPr>
              <w:t>0.7206</w:t>
            </w:r>
          </w:p>
        </w:tc>
        <w:tc>
          <w:tcPr>
            <w:tcW w:w="944" w:type="dxa"/>
            <w:tcBorders>
              <w:top w:val="single" w:sz="4" w:space="0" w:color="auto"/>
              <w:left w:val="single" w:sz="4" w:space="0" w:color="auto"/>
              <w:bottom w:val="single" w:sz="4" w:space="0" w:color="auto"/>
              <w:right w:val="single" w:sz="4" w:space="0" w:color="auto"/>
            </w:tcBorders>
          </w:tcPr>
          <w:p w14:paraId="26D0DADA" w14:textId="77777777" w:rsidR="00B859CC" w:rsidRPr="00816DDD" w:rsidRDefault="00B859CC" w:rsidP="00352CE6">
            <w:pPr>
              <w:widowControl w:val="0"/>
              <w:ind w:left="-14"/>
              <w:contextualSpacing/>
              <w:jc w:val="right"/>
              <w:rPr>
                <w:sz w:val="20"/>
                <w:szCs w:val="20"/>
              </w:rPr>
            </w:pPr>
            <w:r w:rsidRPr="00816DDD">
              <w:rPr>
                <w:rFonts w:hint="cs"/>
                <w:sz w:val="20"/>
                <w:szCs w:val="20"/>
              </w:rPr>
              <w:t>0.5771</w:t>
            </w:r>
          </w:p>
        </w:tc>
        <w:tc>
          <w:tcPr>
            <w:tcW w:w="1104" w:type="dxa"/>
            <w:tcBorders>
              <w:top w:val="single" w:sz="4" w:space="0" w:color="auto"/>
              <w:left w:val="single" w:sz="4" w:space="0" w:color="auto"/>
              <w:bottom w:val="single" w:sz="4" w:space="0" w:color="auto"/>
              <w:right w:val="single" w:sz="4" w:space="0" w:color="auto"/>
            </w:tcBorders>
          </w:tcPr>
          <w:p w14:paraId="35689218" w14:textId="77777777" w:rsidR="00B859CC" w:rsidRPr="00816DDD" w:rsidRDefault="00B859CC" w:rsidP="00352CE6">
            <w:pPr>
              <w:widowControl w:val="0"/>
              <w:contextualSpacing/>
              <w:jc w:val="right"/>
              <w:rPr>
                <w:sz w:val="20"/>
                <w:szCs w:val="20"/>
              </w:rPr>
            </w:pPr>
            <w:r w:rsidRPr="00816DDD">
              <w:rPr>
                <w:rFonts w:hint="cs"/>
                <w:sz w:val="20"/>
                <w:szCs w:val="20"/>
              </w:rPr>
              <w:t>0.8700</w:t>
            </w:r>
          </w:p>
        </w:tc>
        <w:tc>
          <w:tcPr>
            <w:tcW w:w="1080" w:type="dxa"/>
            <w:tcBorders>
              <w:top w:val="single" w:sz="4" w:space="0" w:color="auto"/>
              <w:left w:val="single" w:sz="4" w:space="0" w:color="auto"/>
              <w:bottom w:val="single" w:sz="4" w:space="0" w:color="auto"/>
              <w:right w:val="single" w:sz="4" w:space="0" w:color="auto"/>
            </w:tcBorders>
          </w:tcPr>
          <w:p w14:paraId="07B985B4" w14:textId="77777777" w:rsidR="00B859CC" w:rsidRPr="00816DDD" w:rsidRDefault="00B859CC" w:rsidP="00352CE6">
            <w:pPr>
              <w:widowControl w:val="0"/>
              <w:contextualSpacing/>
              <w:jc w:val="right"/>
              <w:rPr>
                <w:sz w:val="20"/>
                <w:szCs w:val="20"/>
              </w:rPr>
            </w:pPr>
            <w:r w:rsidRPr="00816DDD">
              <w:rPr>
                <w:rFonts w:hint="cs"/>
                <w:sz w:val="20"/>
                <w:szCs w:val="20"/>
              </w:rPr>
              <w:t>0.0363</w:t>
            </w:r>
          </w:p>
        </w:tc>
        <w:tc>
          <w:tcPr>
            <w:tcW w:w="887" w:type="dxa"/>
            <w:tcBorders>
              <w:top w:val="single" w:sz="4" w:space="0" w:color="auto"/>
              <w:left w:val="single" w:sz="4" w:space="0" w:color="auto"/>
              <w:bottom w:val="single" w:sz="4" w:space="0" w:color="auto"/>
              <w:right w:val="single" w:sz="4" w:space="0" w:color="auto"/>
            </w:tcBorders>
          </w:tcPr>
          <w:p w14:paraId="734AFBD7" w14:textId="77777777" w:rsidR="00B859CC" w:rsidRPr="00816DDD" w:rsidRDefault="00B859CC" w:rsidP="00352CE6">
            <w:pPr>
              <w:widowControl w:val="0"/>
              <w:contextualSpacing/>
              <w:jc w:val="right"/>
              <w:rPr>
                <w:sz w:val="20"/>
                <w:szCs w:val="20"/>
              </w:rPr>
            </w:pPr>
            <w:r w:rsidRPr="00816DDD">
              <w:rPr>
                <w:rFonts w:hint="cs"/>
                <w:sz w:val="20"/>
                <w:szCs w:val="20"/>
              </w:rPr>
              <w:t>0.0067</w:t>
            </w:r>
          </w:p>
        </w:tc>
        <w:tc>
          <w:tcPr>
            <w:tcW w:w="1018" w:type="dxa"/>
            <w:tcBorders>
              <w:top w:val="single" w:sz="4" w:space="0" w:color="auto"/>
              <w:left w:val="single" w:sz="4" w:space="0" w:color="auto"/>
              <w:bottom w:val="single" w:sz="4" w:space="0" w:color="auto"/>
              <w:right w:val="single" w:sz="4" w:space="0" w:color="auto"/>
            </w:tcBorders>
          </w:tcPr>
          <w:p w14:paraId="1EAC62D0" w14:textId="77777777" w:rsidR="00B859CC" w:rsidRPr="00816DDD" w:rsidRDefault="00B859CC" w:rsidP="00352CE6">
            <w:pPr>
              <w:widowControl w:val="0"/>
              <w:contextualSpacing/>
              <w:jc w:val="right"/>
              <w:rPr>
                <w:sz w:val="20"/>
                <w:szCs w:val="20"/>
              </w:rPr>
            </w:pPr>
            <w:r w:rsidRPr="00816DDD">
              <w:rPr>
                <w:rFonts w:hint="cs"/>
                <w:sz w:val="20"/>
                <w:szCs w:val="20"/>
              </w:rPr>
              <w:t>1.0000</w:t>
            </w:r>
          </w:p>
        </w:tc>
        <w:tc>
          <w:tcPr>
            <w:tcW w:w="1018" w:type="dxa"/>
            <w:tcBorders>
              <w:top w:val="single" w:sz="4" w:space="0" w:color="auto"/>
              <w:left w:val="single" w:sz="4" w:space="0" w:color="auto"/>
              <w:bottom w:val="single" w:sz="4" w:space="0" w:color="auto"/>
              <w:right w:val="single" w:sz="4" w:space="0" w:color="auto"/>
            </w:tcBorders>
          </w:tcPr>
          <w:p w14:paraId="56579B34" w14:textId="77777777" w:rsidR="00B859CC" w:rsidRPr="00816DDD" w:rsidRDefault="00B859CC" w:rsidP="00352CE6">
            <w:pPr>
              <w:widowControl w:val="0"/>
              <w:contextualSpacing/>
              <w:jc w:val="right"/>
              <w:rPr>
                <w:sz w:val="20"/>
                <w:szCs w:val="20"/>
              </w:rPr>
            </w:pPr>
            <w:r w:rsidRPr="00816DDD">
              <w:rPr>
                <w:rFonts w:hint="cs"/>
                <w:sz w:val="20"/>
                <w:szCs w:val="20"/>
              </w:rPr>
              <w:t>0.7878</w:t>
            </w:r>
          </w:p>
        </w:tc>
        <w:tc>
          <w:tcPr>
            <w:tcW w:w="955" w:type="dxa"/>
            <w:gridSpan w:val="2"/>
            <w:tcBorders>
              <w:top w:val="single" w:sz="4" w:space="0" w:color="auto"/>
              <w:left w:val="single" w:sz="4" w:space="0" w:color="auto"/>
              <w:bottom w:val="single" w:sz="4" w:space="0" w:color="auto"/>
              <w:right w:val="single" w:sz="4" w:space="0" w:color="auto"/>
            </w:tcBorders>
          </w:tcPr>
          <w:p w14:paraId="79EA0B54" w14:textId="77777777" w:rsidR="00B859CC" w:rsidRPr="00816DDD" w:rsidRDefault="00B859CC" w:rsidP="00352CE6">
            <w:pPr>
              <w:widowControl w:val="0"/>
              <w:contextualSpacing/>
              <w:jc w:val="right"/>
              <w:rPr>
                <w:sz w:val="20"/>
                <w:szCs w:val="20"/>
              </w:rPr>
            </w:pPr>
            <w:r w:rsidRPr="00816DDD">
              <w:rPr>
                <w:rFonts w:hint="cs"/>
                <w:sz w:val="20"/>
                <w:szCs w:val="20"/>
              </w:rPr>
              <w:t>0.5580</w:t>
            </w:r>
          </w:p>
        </w:tc>
      </w:tr>
      <w:tr w:rsidR="00816DDD" w:rsidRPr="00816DDD" w14:paraId="4061A628" w14:textId="77777777" w:rsidTr="00352CE6">
        <w:tc>
          <w:tcPr>
            <w:tcW w:w="805" w:type="dxa"/>
            <w:tcBorders>
              <w:top w:val="single" w:sz="4" w:space="0" w:color="auto"/>
              <w:left w:val="single" w:sz="4" w:space="0" w:color="auto"/>
              <w:bottom w:val="single" w:sz="4" w:space="0" w:color="auto"/>
              <w:right w:val="single" w:sz="4" w:space="0" w:color="auto"/>
            </w:tcBorders>
          </w:tcPr>
          <w:p w14:paraId="779F4554" w14:textId="77777777" w:rsidR="00B859CC" w:rsidRPr="00816DDD" w:rsidRDefault="00B859CC" w:rsidP="00352CE6">
            <w:pPr>
              <w:widowControl w:val="0"/>
              <w:ind w:left="-15"/>
              <w:contextualSpacing/>
              <w:jc w:val="center"/>
              <w:rPr>
                <w:b/>
                <w:sz w:val="20"/>
                <w:szCs w:val="20"/>
              </w:rPr>
            </w:pPr>
            <w:r w:rsidRPr="00816DDD">
              <w:rPr>
                <w:rFonts w:hint="cs"/>
                <w:b/>
                <w:sz w:val="20"/>
                <w:szCs w:val="20"/>
              </w:rPr>
              <w:t>CHF</w:t>
            </w:r>
          </w:p>
        </w:tc>
        <w:tc>
          <w:tcPr>
            <w:tcW w:w="1017" w:type="dxa"/>
            <w:tcBorders>
              <w:top w:val="single" w:sz="4" w:space="0" w:color="auto"/>
              <w:left w:val="single" w:sz="4" w:space="0" w:color="auto"/>
              <w:bottom w:val="single" w:sz="4" w:space="0" w:color="auto"/>
              <w:right w:val="single" w:sz="4" w:space="0" w:color="auto"/>
            </w:tcBorders>
          </w:tcPr>
          <w:p w14:paraId="3433A5FF" w14:textId="77777777" w:rsidR="00B859CC" w:rsidRPr="00816DDD" w:rsidRDefault="00B859CC" w:rsidP="00352CE6">
            <w:pPr>
              <w:widowControl w:val="0"/>
              <w:contextualSpacing/>
              <w:jc w:val="right"/>
              <w:rPr>
                <w:sz w:val="20"/>
                <w:szCs w:val="20"/>
              </w:rPr>
            </w:pPr>
            <w:r w:rsidRPr="00816DDD">
              <w:rPr>
                <w:rFonts w:hint="cs"/>
                <w:sz w:val="20"/>
                <w:szCs w:val="20"/>
              </w:rPr>
              <w:t>0.9147</w:t>
            </w:r>
          </w:p>
        </w:tc>
        <w:tc>
          <w:tcPr>
            <w:tcW w:w="944" w:type="dxa"/>
            <w:tcBorders>
              <w:top w:val="single" w:sz="4" w:space="0" w:color="auto"/>
              <w:left w:val="single" w:sz="4" w:space="0" w:color="auto"/>
              <w:bottom w:val="single" w:sz="4" w:space="0" w:color="auto"/>
              <w:right w:val="single" w:sz="4" w:space="0" w:color="auto"/>
            </w:tcBorders>
          </w:tcPr>
          <w:p w14:paraId="3C73F27E" w14:textId="77777777" w:rsidR="00B859CC" w:rsidRPr="00816DDD" w:rsidRDefault="00B859CC" w:rsidP="00352CE6">
            <w:pPr>
              <w:widowControl w:val="0"/>
              <w:ind w:left="-14"/>
              <w:contextualSpacing/>
              <w:jc w:val="right"/>
              <w:rPr>
                <w:sz w:val="20"/>
                <w:szCs w:val="20"/>
              </w:rPr>
            </w:pPr>
            <w:r w:rsidRPr="00816DDD">
              <w:rPr>
                <w:rFonts w:hint="cs"/>
                <w:sz w:val="20"/>
                <w:szCs w:val="20"/>
              </w:rPr>
              <w:t>0.7326</w:t>
            </w:r>
          </w:p>
        </w:tc>
        <w:tc>
          <w:tcPr>
            <w:tcW w:w="1104" w:type="dxa"/>
            <w:tcBorders>
              <w:top w:val="single" w:sz="4" w:space="0" w:color="auto"/>
              <w:left w:val="single" w:sz="4" w:space="0" w:color="auto"/>
              <w:bottom w:val="single" w:sz="4" w:space="0" w:color="auto"/>
              <w:right w:val="single" w:sz="4" w:space="0" w:color="auto"/>
            </w:tcBorders>
          </w:tcPr>
          <w:p w14:paraId="472A90DB" w14:textId="77777777" w:rsidR="00B859CC" w:rsidRPr="00816DDD" w:rsidRDefault="00B859CC" w:rsidP="00352CE6">
            <w:pPr>
              <w:widowControl w:val="0"/>
              <w:contextualSpacing/>
              <w:jc w:val="right"/>
              <w:rPr>
                <w:sz w:val="20"/>
                <w:szCs w:val="20"/>
              </w:rPr>
            </w:pPr>
            <w:r w:rsidRPr="00816DDD">
              <w:rPr>
                <w:rFonts w:hint="cs"/>
                <w:sz w:val="20"/>
                <w:szCs w:val="20"/>
              </w:rPr>
              <w:t>1.1044</w:t>
            </w:r>
          </w:p>
        </w:tc>
        <w:tc>
          <w:tcPr>
            <w:tcW w:w="1080" w:type="dxa"/>
            <w:tcBorders>
              <w:top w:val="single" w:sz="4" w:space="0" w:color="auto"/>
              <w:left w:val="single" w:sz="4" w:space="0" w:color="auto"/>
              <w:bottom w:val="single" w:sz="4" w:space="0" w:color="auto"/>
              <w:right w:val="single" w:sz="4" w:space="0" w:color="auto"/>
            </w:tcBorders>
          </w:tcPr>
          <w:p w14:paraId="47040D88" w14:textId="77777777" w:rsidR="00B859CC" w:rsidRPr="00816DDD" w:rsidRDefault="00B859CC" w:rsidP="00352CE6">
            <w:pPr>
              <w:widowControl w:val="0"/>
              <w:contextualSpacing/>
              <w:jc w:val="right"/>
              <w:rPr>
                <w:sz w:val="20"/>
                <w:szCs w:val="20"/>
              </w:rPr>
            </w:pPr>
            <w:r w:rsidRPr="00816DDD">
              <w:rPr>
                <w:rFonts w:hint="cs"/>
                <w:sz w:val="20"/>
                <w:szCs w:val="20"/>
              </w:rPr>
              <w:t>0.0461</w:t>
            </w:r>
          </w:p>
        </w:tc>
        <w:tc>
          <w:tcPr>
            <w:tcW w:w="887" w:type="dxa"/>
            <w:tcBorders>
              <w:top w:val="single" w:sz="4" w:space="0" w:color="auto"/>
              <w:left w:val="single" w:sz="4" w:space="0" w:color="auto"/>
              <w:bottom w:val="single" w:sz="4" w:space="0" w:color="auto"/>
              <w:right w:val="single" w:sz="4" w:space="0" w:color="auto"/>
            </w:tcBorders>
          </w:tcPr>
          <w:p w14:paraId="0187EA6F" w14:textId="77777777" w:rsidR="00B859CC" w:rsidRPr="00816DDD" w:rsidRDefault="00B859CC" w:rsidP="00352CE6">
            <w:pPr>
              <w:widowControl w:val="0"/>
              <w:contextualSpacing/>
              <w:jc w:val="right"/>
              <w:rPr>
                <w:sz w:val="20"/>
                <w:szCs w:val="20"/>
              </w:rPr>
            </w:pPr>
            <w:r w:rsidRPr="00816DDD">
              <w:rPr>
                <w:rFonts w:hint="cs"/>
                <w:sz w:val="20"/>
                <w:szCs w:val="20"/>
              </w:rPr>
              <w:t>0.0085</w:t>
            </w:r>
          </w:p>
        </w:tc>
        <w:tc>
          <w:tcPr>
            <w:tcW w:w="1018" w:type="dxa"/>
            <w:tcBorders>
              <w:top w:val="single" w:sz="4" w:space="0" w:color="auto"/>
              <w:left w:val="single" w:sz="4" w:space="0" w:color="auto"/>
              <w:bottom w:val="single" w:sz="4" w:space="0" w:color="auto"/>
              <w:right w:val="single" w:sz="4" w:space="0" w:color="auto"/>
            </w:tcBorders>
          </w:tcPr>
          <w:p w14:paraId="56395780" w14:textId="77777777" w:rsidR="00B859CC" w:rsidRPr="00816DDD" w:rsidRDefault="00B859CC" w:rsidP="00352CE6">
            <w:pPr>
              <w:widowControl w:val="0"/>
              <w:contextualSpacing/>
              <w:jc w:val="right"/>
              <w:rPr>
                <w:sz w:val="20"/>
                <w:szCs w:val="20"/>
              </w:rPr>
            </w:pPr>
            <w:r w:rsidRPr="00816DDD">
              <w:rPr>
                <w:rFonts w:hint="cs"/>
                <w:sz w:val="20"/>
                <w:szCs w:val="20"/>
              </w:rPr>
              <w:t>1.2694</w:t>
            </w:r>
          </w:p>
        </w:tc>
        <w:tc>
          <w:tcPr>
            <w:tcW w:w="1018" w:type="dxa"/>
            <w:tcBorders>
              <w:top w:val="single" w:sz="4" w:space="0" w:color="auto"/>
              <w:left w:val="single" w:sz="4" w:space="0" w:color="auto"/>
              <w:bottom w:val="single" w:sz="4" w:space="0" w:color="auto"/>
              <w:right w:val="single" w:sz="4" w:space="0" w:color="auto"/>
            </w:tcBorders>
          </w:tcPr>
          <w:p w14:paraId="70DEA5A9" w14:textId="77777777" w:rsidR="00B859CC" w:rsidRPr="00816DDD" w:rsidRDefault="00B859CC" w:rsidP="00352CE6">
            <w:pPr>
              <w:widowControl w:val="0"/>
              <w:contextualSpacing/>
              <w:jc w:val="right"/>
              <w:rPr>
                <w:sz w:val="20"/>
                <w:szCs w:val="20"/>
              </w:rPr>
            </w:pPr>
            <w:r w:rsidRPr="00816DDD">
              <w:rPr>
                <w:rFonts w:hint="cs"/>
                <w:sz w:val="20"/>
                <w:szCs w:val="20"/>
              </w:rPr>
              <w:t>1.0000</w:t>
            </w:r>
          </w:p>
        </w:tc>
        <w:tc>
          <w:tcPr>
            <w:tcW w:w="955" w:type="dxa"/>
            <w:gridSpan w:val="2"/>
            <w:tcBorders>
              <w:top w:val="single" w:sz="4" w:space="0" w:color="auto"/>
              <w:left w:val="single" w:sz="4" w:space="0" w:color="auto"/>
              <w:bottom w:val="single" w:sz="4" w:space="0" w:color="auto"/>
              <w:right w:val="single" w:sz="4" w:space="0" w:color="auto"/>
            </w:tcBorders>
          </w:tcPr>
          <w:p w14:paraId="288639BC" w14:textId="77777777" w:rsidR="00B859CC" w:rsidRPr="00816DDD" w:rsidRDefault="00B859CC" w:rsidP="00352CE6">
            <w:pPr>
              <w:widowControl w:val="0"/>
              <w:contextualSpacing/>
              <w:jc w:val="right"/>
              <w:rPr>
                <w:sz w:val="20"/>
                <w:szCs w:val="20"/>
              </w:rPr>
            </w:pPr>
            <w:r w:rsidRPr="00816DDD">
              <w:rPr>
                <w:rFonts w:hint="cs"/>
                <w:sz w:val="20"/>
                <w:szCs w:val="20"/>
              </w:rPr>
              <w:t>0.7083</w:t>
            </w:r>
          </w:p>
        </w:tc>
      </w:tr>
      <w:tr w:rsidR="00816DDD" w:rsidRPr="00816DDD" w14:paraId="0A0445C1" w14:textId="77777777" w:rsidTr="00352CE6">
        <w:tc>
          <w:tcPr>
            <w:tcW w:w="805" w:type="dxa"/>
            <w:tcBorders>
              <w:top w:val="single" w:sz="4" w:space="0" w:color="auto"/>
              <w:left w:val="single" w:sz="4" w:space="0" w:color="auto"/>
              <w:bottom w:val="single" w:sz="4" w:space="0" w:color="auto"/>
              <w:right w:val="single" w:sz="4" w:space="0" w:color="auto"/>
            </w:tcBorders>
          </w:tcPr>
          <w:p w14:paraId="7D302398" w14:textId="77777777" w:rsidR="00B859CC" w:rsidRPr="00816DDD" w:rsidRDefault="00B859CC" w:rsidP="00352CE6">
            <w:pPr>
              <w:widowControl w:val="0"/>
              <w:ind w:left="-15"/>
              <w:contextualSpacing/>
              <w:jc w:val="center"/>
              <w:rPr>
                <w:b/>
                <w:sz w:val="20"/>
                <w:szCs w:val="20"/>
              </w:rPr>
            </w:pPr>
            <w:r w:rsidRPr="00816DDD">
              <w:rPr>
                <w:rFonts w:hint="cs"/>
                <w:b/>
                <w:sz w:val="20"/>
                <w:szCs w:val="20"/>
              </w:rPr>
              <w:t>AUD</w:t>
            </w:r>
          </w:p>
        </w:tc>
        <w:tc>
          <w:tcPr>
            <w:tcW w:w="1017" w:type="dxa"/>
            <w:tcBorders>
              <w:top w:val="single" w:sz="4" w:space="0" w:color="auto"/>
              <w:left w:val="single" w:sz="4" w:space="0" w:color="auto"/>
              <w:bottom w:val="single" w:sz="4" w:space="0" w:color="auto"/>
              <w:right w:val="single" w:sz="4" w:space="0" w:color="auto"/>
            </w:tcBorders>
          </w:tcPr>
          <w:p w14:paraId="3AD280F8" w14:textId="77777777" w:rsidR="00B859CC" w:rsidRPr="00816DDD" w:rsidRDefault="00B859CC" w:rsidP="00352CE6">
            <w:pPr>
              <w:widowControl w:val="0"/>
              <w:contextualSpacing/>
              <w:jc w:val="right"/>
              <w:rPr>
                <w:sz w:val="20"/>
                <w:szCs w:val="20"/>
              </w:rPr>
            </w:pPr>
            <w:bookmarkStart w:id="7" w:name="_Hlk140239231"/>
            <w:r w:rsidRPr="00816DDD">
              <w:rPr>
                <w:rFonts w:hint="cs"/>
                <w:sz w:val="20"/>
                <w:szCs w:val="20"/>
              </w:rPr>
              <w:t>1.2915</w:t>
            </w:r>
            <w:bookmarkEnd w:id="7"/>
          </w:p>
        </w:tc>
        <w:tc>
          <w:tcPr>
            <w:tcW w:w="944" w:type="dxa"/>
            <w:tcBorders>
              <w:top w:val="single" w:sz="4" w:space="0" w:color="auto"/>
              <w:left w:val="single" w:sz="4" w:space="0" w:color="auto"/>
              <w:bottom w:val="single" w:sz="4" w:space="0" w:color="auto"/>
              <w:right w:val="single" w:sz="4" w:space="0" w:color="auto"/>
            </w:tcBorders>
          </w:tcPr>
          <w:p w14:paraId="38AA8296" w14:textId="77777777" w:rsidR="00B859CC" w:rsidRPr="00816DDD" w:rsidRDefault="00B859CC" w:rsidP="00352CE6">
            <w:pPr>
              <w:widowControl w:val="0"/>
              <w:ind w:left="-14"/>
              <w:contextualSpacing/>
              <w:jc w:val="right"/>
              <w:rPr>
                <w:sz w:val="20"/>
                <w:szCs w:val="20"/>
              </w:rPr>
            </w:pPr>
            <w:r w:rsidRPr="00816DDD">
              <w:rPr>
                <w:rFonts w:hint="cs"/>
                <w:sz w:val="20"/>
                <w:szCs w:val="20"/>
              </w:rPr>
              <w:t>1.0343</w:t>
            </w:r>
          </w:p>
        </w:tc>
        <w:tc>
          <w:tcPr>
            <w:tcW w:w="1104" w:type="dxa"/>
            <w:tcBorders>
              <w:top w:val="single" w:sz="4" w:space="0" w:color="auto"/>
              <w:left w:val="single" w:sz="4" w:space="0" w:color="auto"/>
              <w:bottom w:val="single" w:sz="4" w:space="0" w:color="auto"/>
              <w:right w:val="single" w:sz="4" w:space="0" w:color="auto"/>
            </w:tcBorders>
          </w:tcPr>
          <w:p w14:paraId="00607BD4" w14:textId="77777777" w:rsidR="00B859CC" w:rsidRPr="00816DDD" w:rsidRDefault="00B859CC" w:rsidP="00352CE6">
            <w:pPr>
              <w:widowControl w:val="0"/>
              <w:contextualSpacing/>
              <w:jc w:val="right"/>
              <w:rPr>
                <w:sz w:val="20"/>
                <w:szCs w:val="20"/>
              </w:rPr>
            </w:pPr>
            <w:r w:rsidRPr="00816DDD">
              <w:rPr>
                <w:rFonts w:hint="cs"/>
                <w:sz w:val="20"/>
                <w:szCs w:val="20"/>
              </w:rPr>
              <w:t>1.5593</w:t>
            </w:r>
          </w:p>
        </w:tc>
        <w:tc>
          <w:tcPr>
            <w:tcW w:w="1080" w:type="dxa"/>
            <w:tcBorders>
              <w:top w:val="single" w:sz="4" w:space="0" w:color="auto"/>
              <w:left w:val="single" w:sz="4" w:space="0" w:color="auto"/>
              <w:bottom w:val="single" w:sz="4" w:space="0" w:color="auto"/>
              <w:right w:val="single" w:sz="4" w:space="0" w:color="auto"/>
            </w:tcBorders>
          </w:tcPr>
          <w:p w14:paraId="107B247F" w14:textId="77777777" w:rsidR="00B859CC" w:rsidRPr="00816DDD" w:rsidRDefault="00B859CC" w:rsidP="00352CE6">
            <w:pPr>
              <w:widowControl w:val="0"/>
              <w:contextualSpacing/>
              <w:jc w:val="right"/>
              <w:rPr>
                <w:sz w:val="20"/>
                <w:szCs w:val="20"/>
              </w:rPr>
            </w:pPr>
            <w:r w:rsidRPr="00816DDD">
              <w:rPr>
                <w:rFonts w:hint="cs"/>
                <w:sz w:val="20"/>
                <w:szCs w:val="20"/>
              </w:rPr>
              <w:t>0.0651</w:t>
            </w:r>
          </w:p>
        </w:tc>
        <w:tc>
          <w:tcPr>
            <w:tcW w:w="887" w:type="dxa"/>
            <w:tcBorders>
              <w:top w:val="single" w:sz="4" w:space="0" w:color="auto"/>
              <w:left w:val="single" w:sz="4" w:space="0" w:color="auto"/>
              <w:bottom w:val="single" w:sz="4" w:space="0" w:color="auto"/>
              <w:right w:val="single" w:sz="4" w:space="0" w:color="auto"/>
            </w:tcBorders>
          </w:tcPr>
          <w:p w14:paraId="5F33E39E" w14:textId="77777777" w:rsidR="00B859CC" w:rsidRPr="00816DDD" w:rsidRDefault="00B859CC" w:rsidP="00352CE6">
            <w:pPr>
              <w:widowControl w:val="0"/>
              <w:contextualSpacing/>
              <w:jc w:val="right"/>
              <w:rPr>
                <w:sz w:val="20"/>
                <w:szCs w:val="20"/>
              </w:rPr>
            </w:pPr>
            <w:r w:rsidRPr="00816DDD">
              <w:rPr>
                <w:rFonts w:hint="cs"/>
                <w:sz w:val="20"/>
                <w:szCs w:val="20"/>
              </w:rPr>
              <w:t>0.0120</w:t>
            </w:r>
          </w:p>
        </w:tc>
        <w:tc>
          <w:tcPr>
            <w:tcW w:w="1018" w:type="dxa"/>
            <w:tcBorders>
              <w:top w:val="single" w:sz="4" w:space="0" w:color="auto"/>
              <w:left w:val="single" w:sz="4" w:space="0" w:color="auto"/>
              <w:bottom w:val="single" w:sz="4" w:space="0" w:color="auto"/>
              <w:right w:val="single" w:sz="4" w:space="0" w:color="auto"/>
            </w:tcBorders>
          </w:tcPr>
          <w:p w14:paraId="64B0178B" w14:textId="77777777" w:rsidR="00B859CC" w:rsidRPr="00816DDD" w:rsidRDefault="00B859CC" w:rsidP="00352CE6">
            <w:pPr>
              <w:widowControl w:val="0"/>
              <w:contextualSpacing/>
              <w:jc w:val="right"/>
              <w:rPr>
                <w:sz w:val="20"/>
                <w:szCs w:val="20"/>
              </w:rPr>
            </w:pPr>
            <w:r w:rsidRPr="00816DDD">
              <w:rPr>
                <w:rFonts w:hint="cs"/>
                <w:sz w:val="20"/>
                <w:szCs w:val="20"/>
              </w:rPr>
              <w:t>1.7923</w:t>
            </w:r>
          </w:p>
        </w:tc>
        <w:tc>
          <w:tcPr>
            <w:tcW w:w="1018" w:type="dxa"/>
            <w:tcBorders>
              <w:top w:val="single" w:sz="4" w:space="0" w:color="auto"/>
              <w:left w:val="single" w:sz="4" w:space="0" w:color="auto"/>
              <w:bottom w:val="single" w:sz="4" w:space="0" w:color="auto"/>
              <w:right w:val="single" w:sz="4" w:space="0" w:color="auto"/>
            </w:tcBorders>
          </w:tcPr>
          <w:p w14:paraId="5284182C" w14:textId="77777777" w:rsidR="00B859CC" w:rsidRPr="00816DDD" w:rsidRDefault="00B859CC" w:rsidP="00352CE6">
            <w:pPr>
              <w:widowControl w:val="0"/>
              <w:contextualSpacing/>
              <w:jc w:val="right"/>
              <w:rPr>
                <w:sz w:val="20"/>
                <w:szCs w:val="20"/>
              </w:rPr>
            </w:pPr>
            <w:r w:rsidRPr="00816DDD">
              <w:rPr>
                <w:rFonts w:hint="cs"/>
                <w:sz w:val="20"/>
                <w:szCs w:val="20"/>
              </w:rPr>
              <w:t>1.4119</w:t>
            </w:r>
          </w:p>
        </w:tc>
        <w:tc>
          <w:tcPr>
            <w:tcW w:w="955" w:type="dxa"/>
            <w:gridSpan w:val="2"/>
            <w:tcBorders>
              <w:top w:val="single" w:sz="4" w:space="0" w:color="auto"/>
              <w:left w:val="single" w:sz="4" w:space="0" w:color="auto"/>
              <w:bottom w:val="single" w:sz="4" w:space="0" w:color="auto"/>
              <w:right w:val="single" w:sz="4" w:space="0" w:color="auto"/>
            </w:tcBorders>
          </w:tcPr>
          <w:p w14:paraId="30A0204F" w14:textId="77777777" w:rsidR="00B859CC" w:rsidRPr="00816DDD" w:rsidRDefault="00B859CC" w:rsidP="00352CE6">
            <w:pPr>
              <w:widowControl w:val="0"/>
              <w:contextualSpacing/>
              <w:jc w:val="right"/>
              <w:rPr>
                <w:sz w:val="20"/>
                <w:szCs w:val="20"/>
              </w:rPr>
            </w:pPr>
            <w:r w:rsidRPr="00816DDD">
              <w:rPr>
                <w:rFonts w:hint="cs"/>
                <w:sz w:val="20"/>
                <w:szCs w:val="20"/>
              </w:rPr>
              <w:t>1.0000</w:t>
            </w:r>
          </w:p>
        </w:tc>
      </w:tr>
      <w:tr w:rsidR="00B859CC" w:rsidRPr="00816DDD" w14:paraId="24081AF9" w14:textId="77777777" w:rsidTr="00352CE6">
        <w:trPr>
          <w:gridAfter w:val="1"/>
          <w:wAfter w:w="8" w:type="dxa"/>
        </w:trPr>
        <w:tc>
          <w:tcPr>
            <w:tcW w:w="8820" w:type="dxa"/>
            <w:gridSpan w:val="9"/>
            <w:tcBorders>
              <w:top w:val="single" w:sz="4" w:space="0" w:color="auto"/>
              <w:left w:val="single" w:sz="4" w:space="0" w:color="auto"/>
              <w:bottom w:val="single" w:sz="4" w:space="0" w:color="auto"/>
              <w:right w:val="single" w:sz="4" w:space="0" w:color="auto"/>
            </w:tcBorders>
          </w:tcPr>
          <w:p w14:paraId="60F4A26D" w14:textId="77777777" w:rsidR="00B859CC" w:rsidRPr="00816DDD" w:rsidRDefault="00B859CC" w:rsidP="00352CE6">
            <w:pPr>
              <w:widowControl w:val="0"/>
              <w:ind w:left="-15"/>
              <w:contextualSpacing/>
              <w:rPr>
                <w:sz w:val="20"/>
                <w:szCs w:val="20"/>
              </w:rPr>
            </w:pPr>
            <w:r w:rsidRPr="00816DDD">
              <w:rPr>
                <w:rFonts w:hint="cs"/>
                <w:sz w:val="20"/>
                <w:szCs w:val="20"/>
              </w:rPr>
              <w:t>Source:  Royal Bank of Canada, April 21, 2021</w:t>
            </w:r>
          </w:p>
        </w:tc>
      </w:tr>
    </w:tbl>
    <w:p w14:paraId="65FF8118" w14:textId="77777777" w:rsidR="00B859CC" w:rsidRPr="00816DDD" w:rsidRDefault="00B859CC" w:rsidP="00B859CC">
      <w:pPr>
        <w:widowControl w:val="0"/>
        <w:spacing w:after="0" w:line="240" w:lineRule="auto"/>
        <w:rPr>
          <w:szCs w:val="24"/>
        </w:rPr>
      </w:pPr>
    </w:p>
    <w:p w14:paraId="1608703B" w14:textId="58817638" w:rsidR="00B859CC" w:rsidRPr="00816DDD" w:rsidRDefault="00B859CC" w:rsidP="00B859CC">
      <w:pPr>
        <w:widowControl w:val="0"/>
        <w:spacing w:after="0" w:line="240" w:lineRule="auto"/>
        <w:rPr>
          <w:szCs w:val="24"/>
        </w:rPr>
      </w:pPr>
      <w:r w:rsidRPr="00816DDD">
        <w:rPr>
          <w:rFonts w:hint="cs"/>
          <w:szCs w:val="24"/>
        </w:rPr>
        <w:t xml:space="preserve">What if a Canadian trader knows the CAD/USD and USD/EUR exchange rates, but does not know the CAD/EUR?  As mentioned, foreign exchange markets are very efficient, so this rate can be calculated using the exchange rates in Exhibit </w:t>
      </w:r>
      <w:r w:rsidR="00A40581" w:rsidRPr="00816DDD">
        <w:rPr>
          <w:szCs w:val="24"/>
        </w:rPr>
        <w:t>8</w:t>
      </w:r>
      <w:r w:rsidRPr="00816DDD">
        <w:rPr>
          <w:rFonts w:hint="cs"/>
          <w:szCs w:val="24"/>
        </w:rPr>
        <w:t xml:space="preserve"> using a process called triangulation.  Notice that the USD values cancel out</w:t>
      </w:r>
      <w:r w:rsidR="00AA0B27">
        <w:rPr>
          <w:szCs w:val="24"/>
        </w:rPr>
        <w:t>,</w:t>
      </w:r>
      <w:r w:rsidRPr="00816DDD">
        <w:rPr>
          <w:rFonts w:hint="cs"/>
          <w:szCs w:val="24"/>
        </w:rPr>
        <w:t xml:space="preserve"> leaving CAD/EUR.</w:t>
      </w:r>
    </w:p>
    <w:p w14:paraId="5CC63A3C" w14:textId="77777777" w:rsidR="00B859CC" w:rsidRPr="00816DDD" w:rsidRDefault="00B859CC" w:rsidP="00B859CC">
      <w:pPr>
        <w:widowControl w:val="0"/>
        <w:spacing w:after="0" w:line="240" w:lineRule="auto"/>
        <w:rPr>
          <w:szCs w:val="24"/>
        </w:rPr>
      </w:pPr>
    </w:p>
    <w:p w14:paraId="3BB4EF7B" w14:textId="77777777" w:rsidR="00B859CC" w:rsidRPr="00816DDD" w:rsidRDefault="003C4EC4" w:rsidP="00B859CC">
      <w:pPr>
        <w:widowControl w:val="0"/>
        <w:spacing w:after="0" w:line="240" w:lineRule="auto"/>
        <w:rPr>
          <w:rFonts w:eastAsiaTheme="minorEastAsia"/>
          <w:sz w:val="20"/>
          <w:szCs w:val="20"/>
        </w:rPr>
      </w:pPr>
      <m:oMathPara>
        <m:oMath>
          <m:f>
            <m:fPr>
              <m:ctrlPr>
                <w:rPr>
                  <w:rFonts w:ascii="Cambria Math" w:hAnsi="Cambria Math"/>
                  <w:sz w:val="20"/>
                  <w:szCs w:val="20"/>
                </w:rPr>
              </m:ctrlPr>
            </m:fPr>
            <m:num>
              <m:r>
                <m:rPr>
                  <m:sty m:val="p"/>
                </m:rPr>
                <w:rPr>
                  <w:rFonts w:ascii="Cambria Math" w:hAnsi="Cambria Math" w:hint="cs"/>
                  <w:sz w:val="20"/>
                  <w:szCs w:val="20"/>
                </w:rPr>
                <m:t>CAD</m:t>
              </m:r>
            </m:num>
            <m:den>
              <m:r>
                <m:rPr>
                  <m:sty m:val="p"/>
                </m:rPr>
                <w:rPr>
                  <w:rFonts w:ascii="Cambria Math" w:hAnsi="Cambria Math" w:hint="cs"/>
                  <w:strike/>
                  <w:sz w:val="20"/>
                  <w:szCs w:val="20"/>
                </w:rPr>
                <m:t>USD</m:t>
              </m:r>
            </m:den>
          </m:f>
          <m:r>
            <m:rPr>
              <m:sty m:val="p"/>
            </m:rPr>
            <w:rPr>
              <w:rFonts w:ascii="Cambria Math" w:hAnsi="Cambria Math" w:hint="cs"/>
              <w:sz w:val="20"/>
              <w:szCs w:val="20"/>
            </w:rPr>
            <m:t xml:space="preserve"> x </m:t>
          </m:r>
          <m:f>
            <m:fPr>
              <m:ctrlPr>
                <w:rPr>
                  <w:rFonts w:ascii="Cambria Math" w:hAnsi="Cambria Math"/>
                  <w:sz w:val="20"/>
                  <w:szCs w:val="20"/>
                </w:rPr>
              </m:ctrlPr>
            </m:fPr>
            <m:num>
              <m:r>
                <m:rPr>
                  <m:sty m:val="p"/>
                </m:rPr>
                <w:rPr>
                  <w:rFonts w:ascii="Cambria Math" w:hAnsi="Cambria Math" w:hint="cs"/>
                  <w:strike/>
                  <w:sz w:val="20"/>
                  <w:szCs w:val="20"/>
                </w:rPr>
                <m:t>USD</m:t>
              </m:r>
            </m:num>
            <m:den>
              <m:r>
                <m:rPr>
                  <m:sty m:val="p"/>
                </m:rPr>
                <w:rPr>
                  <w:rFonts w:ascii="Cambria Math" w:hAnsi="Cambria Math" w:hint="cs"/>
                  <w:sz w:val="20"/>
                  <w:szCs w:val="20"/>
                </w:rPr>
                <m:t>EUR</m:t>
              </m:r>
            </m:den>
          </m:f>
          <m:r>
            <m:rPr>
              <m:sty m:val="p"/>
            </m:rPr>
            <w:rPr>
              <w:rFonts w:ascii="Cambria Math" w:hAnsi="Cambria Math" w:hint="cs"/>
              <w:sz w:val="20"/>
              <w:szCs w:val="20"/>
            </w:rPr>
            <m:t xml:space="preserve">= </m:t>
          </m:r>
          <m:f>
            <m:fPr>
              <m:ctrlPr>
                <w:rPr>
                  <w:rFonts w:ascii="Cambria Math" w:hAnsi="Cambria Math"/>
                  <w:sz w:val="20"/>
                  <w:szCs w:val="20"/>
                </w:rPr>
              </m:ctrlPr>
            </m:fPr>
            <m:num>
              <m:r>
                <m:rPr>
                  <m:sty m:val="p"/>
                </m:rPr>
                <w:rPr>
                  <w:rFonts w:ascii="Cambria Math" w:hAnsi="Cambria Math" w:hint="cs"/>
                  <w:sz w:val="20"/>
                  <w:szCs w:val="20"/>
                </w:rPr>
                <m:t>CAD</m:t>
              </m:r>
            </m:num>
            <m:den>
              <m:r>
                <m:rPr>
                  <m:sty m:val="p"/>
                </m:rPr>
                <w:rPr>
                  <w:rFonts w:ascii="Cambria Math" w:hAnsi="Cambria Math" w:hint="cs"/>
                  <w:sz w:val="20"/>
                  <w:szCs w:val="20"/>
                </w:rPr>
                <m:t>EUR</m:t>
              </m:r>
            </m:den>
          </m:f>
        </m:oMath>
      </m:oMathPara>
    </w:p>
    <w:p w14:paraId="275419CD" w14:textId="77777777" w:rsidR="00B859CC" w:rsidRPr="00816DDD" w:rsidRDefault="00B859CC" w:rsidP="00B859CC">
      <w:pPr>
        <w:widowControl w:val="0"/>
        <w:spacing w:after="0" w:line="240" w:lineRule="auto"/>
        <w:rPr>
          <w:sz w:val="20"/>
          <w:szCs w:val="20"/>
        </w:rPr>
      </w:pPr>
    </w:p>
    <w:p w14:paraId="535F3EED" w14:textId="1A0B2A04" w:rsidR="000D58F3" w:rsidRPr="00816DDD" w:rsidRDefault="00B859CC" w:rsidP="00DD5D46">
      <w:pPr>
        <w:widowControl w:val="0"/>
        <w:spacing w:after="0" w:line="240" w:lineRule="auto"/>
        <w:rPr>
          <w:sz w:val="20"/>
          <w:szCs w:val="20"/>
        </w:rPr>
      </w:pPr>
      <m:oMathPara>
        <m:oMath>
          <m:r>
            <w:rPr>
              <w:rFonts w:ascii="Cambria Math" w:hAnsi="Cambria Math" w:hint="cs"/>
              <w:sz w:val="20"/>
              <w:szCs w:val="20"/>
            </w:rPr>
            <m:t xml:space="preserve">1.2486 </m:t>
          </m:r>
          <m:r>
            <m:rPr>
              <m:sty m:val="p"/>
            </m:rPr>
            <w:rPr>
              <w:rFonts w:ascii="Cambria Math" w:hAnsi="Cambria Math" w:hint="cs"/>
              <w:sz w:val="20"/>
              <w:szCs w:val="20"/>
            </w:rPr>
            <m:t xml:space="preserve">x </m:t>
          </m:r>
          <m:r>
            <w:rPr>
              <w:rFonts w:ascii="Cambria Math" w:hAnsi="Cambria Math" w:hint="cs"/>
              <w:sz w:val="20"/>
              <w:szCs w:val="20"/>
            </w:rPr>
            <m:t>1.2074</m:t>
          </m:r>
          <m:r>
            <m:rPr>
              <m:sty m:val="p"/>
            </m:rPr>
            <w:rPr>
              <w:rFonts w:ascii="Cambria Math" w:hAnsi="Cambria Math" w:hint="cs"/>
              <w:sz w:val="20"/>
              <w:szCs w:val="20"/>
            </w:rPr>
            <m:t>=1.5076</m:t>
          </m:r>
        </m:oMath>
      </m:oMathPara>
    </w:p>
    <w:p w14:paraId="1DCC63A0" w14:textId="77777777" w:rsidR="00D93ECD" w:rsidRPr="00816DDD" w:rsidRDefault="00D93ECD" w:rsidP="00D93ECD">
      <w:pPr>
        <w:widowControl w:val="0"/>
        <w:spacing w:after="0" w:line="240" w:lineRule="auto"/>
        <w:rPr>
          <w:szCs w:val="24"/>
        </w:rPr>
      </w:pPr>
    </w:p>
    <w:p w14:paraId="4516A56D" w14:textId="77777777" w:rsidR="00D93ECD" w:rsidRPr="00816DDD" w:rsidRDefault="00D93ECD" w:rsidP="00D93ECD">
      <w:pPr>
        <w:widowControl w:val="0"/>
        <w:numPr>
          <w:ilvl w:val="1"/>
          <w:numId w:val="4"/>
        </w:numPr>
        <w:spacing w:after="0" w:line="240" w:lineRule="auto"/>
        <w:contextualSpacing/>
        <w:rPr>
          <w:b/>
          <w:szCs w:val="24"/>
        </w:rPr>
      </w:pPr>
      <w:r w:rsidRPr="00816DDD">
        <w:rPr>
          <w:rFonts w:hint="cs"/>
          <w:b/>
          <w:szCs w:val="24"/>
        </w:rPr>
        <w:t xml:space="preserve">| </w:t>
      </w:r>
      <w:r w:rsidRPr="00816DDD">
        <w:rPr>
          <w:b/>
          <w:szCs w:val="24"/>
        </w:rPr>
        <w:t xml:space="preserve">Hedging </w:t>
      </w:r>
      <w:r w:rsidRPr="00816DDD">
        <w:rPr>
          <w:rFonts w:hint="cs"/>
          <w:b/>
          <w:szCs w:val="24"/>
        </w:rPr>
        <w:t>Exchange Rate Risk</w:t>
      </w:r>
    </w:p>
    <w:p w14:paraId="10D51833" w14:textId="77777777" w:rsidR="00D93ECD" w:rsidRPr="00816DDD" w:rsidRDefault="003C4EC4" w:rsidP="00D93ECD">
      <w:pPr>
        <w:widowControl w:val="0"/>
        <w:spacing w:after="0" w:line="240" w:lineRule="auto"/>
        <w:contextualSpacing/>
        <w:rPr>
          <w:b/>
          <w:szCs w:val="24"/>
        </w:rPr>
      </w:pPr>
      <w:r>
        <w:rPr>
          <w:szCs w:val="24"/>
        </w:rPr>
        <w:pict w14:anchorId="67B1746D">
          <v:rect id="_x0000_i1032" style="width:0;height:1.5pt" o:hralign="center" o:bullet="t" o:hrstd="t" o:hr="t" fillcolor="#a0a0a0" stroked="f"/>
        </w:pict>
      </w:r>
    </w:p>
    <w:p w14:paraId="3FBC19B2" w14:textId="77777777" w:rsidR="00D93ECD" w:rsidRPr="00816DDD" w:rsidRDefault="00D93ECD" w:rsidP="00DD5D46">
      <w:pPr>
        <w:widowControl w:val="0"/>
        <w:spacing w:after="0" w:line="240" w:lineRule="auto"/>
        <w:rPr>
          <w:b/>
          <w:bCs/>
          <w:szCs w:val="24"/>
        </w:rPr>
      </w:pPr>
    </w:p>
    <w:p w14:paraId="34B946BE" w14:textId="53DADD3F" w:rsidR="00761977" w:rsidRPr="00816DDD" w:rsidRDefault="00761977" w:rsidP="00761977">
      <w:pPr>
        <w:widowControl w:val="0"/>
        <w:spacing w:after="0" w:line="240" w:lineRule="auto"/>
        <w:rPr>
          <w:szCs w:val="24"/>
        </w:rPr>
      </w:pPr>
      <w:r w:rsidRPr="00816DDD">
        <w:rPr>
          <w:rFonts w:hint="cs"/>
          <w:szCs w:val="24"/>
        </w:rPr>
        <w:t>Traders have three motives for engaging in foreign currency transactions.  First is the transaction motive</w:t>
      </w:r>
      <w:r w:rsidR="00AA0B27">
        <w:rPr>
          <w:szCs w:val="24"/>
        </w:rPr>
        <w:t>,</w:t>
      </w:r>
      <w:r w:rsidRPr="00816DDD">
        <w:rPr>
          <w:rFonts w:hint="cs"/>
          <w:szCs w:val="24"/>
        </w:rPr>
        <w:t xml:space="preserve"> where currency is traded to import goods and services, purchase fixed assets from a foreign supplier, repatriate </w:t>
      </w:r>
      <w:r w:rsidR="00A40581" w:rsidRPr="00816DDD">
        <w:rPr>
          <w:szCs w:val="24"/>
        </w:rPr>
        <w:t xml:space="preserve">sales or </w:t>
      </w:r>
      <w:r w:rsidRPr="00816DDD">
        <w:rPr>
          <w:rFonts w:hint="cs"/>
          <w:szCs w:val="24"/>
        </w:rPr>
        <w:t>profits, invest abroad in business operations or financial instruments, or raise needed financing overseas at a lower rate with</w:t>
      </w:r>
      <w:r w:rsidR="0009451D" w:rsidRPr="00816DDD">
        <w:rPr>
          <w:szCs w:val="24"/>
        </w:rPr>
        <w:t xml:space="preserve"> potentially</w:t>
      </w:r>
      <w:r w:rsidRPr="00816DDD">
        <w:rPr>
          <w:rFonts w:hint="cs"/>
          <w:szCs w:val="24"/>
        </w:rPr>
        <w:t xml:space="preserve"> less stringent </w:t>
      </w:r>
      <w:r w:rsidR="00A40581" w:rsidRPr="00816DDD">
        <w:rPr>
          <w:szCs w:val="24"/>
        </w:rPr>
        <w:t>regulations</w:t>
      </w:r>
      <w:r w:rsidRPr="00816DDD">
        <w:rPr>
          <w:rFonts w:hint="cs"/>
          <w:szCs w:val="24"/>
        </w:rPr>
        <w:t xml:space="preserve">.  The second motive is to hedge a company’s operations or an investor’s portfolio to control the </w:t>
      </w:r>
      <w:r w:rsidR="00247C4A" w:rsidRPr="00816DDD">
        <w:rPr>
          <w:szCs w:val="24"/>
        </w:rPr>
        <w:t xml:space="preserve">transaction </w:t>
      </w:r>
      <w:r w:rsidRPr="00816DDD">
        <w:rPr>
          <w:rFonts w:hint="cs"/>
          <w:szCs w:val="24"/>
        </w:rPr>
        <w:t xml:space="preserve">risks associated with currency fluctuations.  The third motive is for investors to profit by speculating on currency movements. </w:t>
      </w:r>
      <w:r w:rsidR="0009451D" w:rsidRPr="00816DDD">
        <w:rPr>
          <w:szCs w:val="24"/>
        </w:rPr>
        <w:t xml:space="preserve"> S</w:t>
      </w:r>
      <w:r w:rsidR="0009451D" w:rsidRPr="00816DDD">
        <w:rPr>
          <w:rFonts w:hint="cs"/>
          <w:szCs w:val="24"/>
        </w:rPr>
        <w:t>peculators absorb the risks that hedgers are trying to eliminate.</w:t>
      </w:r>
      <w:r w:rsidR="0009451D" w:rsidRPr="00816DDD">
        <w:rPr>
          <w:szCs w:val="24"/>
        </w:rPr>
        <w:t xml:space="preserve">  The remainder of this module focuses on the transaction and hedging motives.</w:t>
      </w:r>
    </w:p>
    <w:p w14:paraId="64FEBE4F" w14:textId="77777777" w:rsidR="00E33BBC" w:rsidRPr="00816DDD" w:rsidRDefault="00E33BBC" w:rsidP="00DD5D46">
      <w:pPr>
        <w:widowControl w:val="0"/>
        <w:spacing w:after="0" w:line="240" w:lineRule="auto"/>
        <w:rPr>
          <w:b/>
          <w:bCs/>
          <w:szCs w:val="24"/>
        </w:rPr>
      </w:pPr>
    </w:p>
    <w:p w14:paraId="21E243F0" w14:textId="52CB86C9" w:rsidR="00DD5D46" w:rsidRPr="00816DDD" w:rsidRDefault="00DD5D46" w:rsidP="00DD5D46">
      <w:pPr>
        <w:widowControl w:val="0"/>
        <w:spacing w:after="0" w:line="240" w:lineRule="auto"/>
        <w:rPr>
          <w:b/>
          <w:bCs/>
          <w:szCs w:val="24"/>
        </w:rPr>
      </w:pPr>
      <w:r w:rsidRPr="00816DDD">
        <w:rPr>
          <w:b/>
          <w:bCs/>
          <w:szCs w:val="24"/>
        </w:rPr>
        <w:t>Transaction Risk</w:t>
      </w:r>
    </w:p>
    <w:p w14:paraId="0055117A" w14:textId="77777777" w:rsidR="00DD5D46" w:rsidRPr="00816DDD" w:rsidRDefault="00DD5D46" w:rsidP="00DD5D46">
      <w:pPr>
        <w:widowControl w:val="0"/>
        <w:spacing w:after="0" w:line="240" w:lineRule="auto"/>
        <w:ind w:right="-90"/>
        <w:rPr>
          <w:szCs w:val="24"/>
        </w:rPr>
      </w:pPr>
    </w:p>
    <w:p w14:paraId="5A8C2D24" w14:textId="77777777" w:rsidR="00DD5D46" w:rsidRPr="00816DDD" w:rsidRDefault="00DD5D46" w:rsidP="00DD5D46">
      <w:pPr>
        <w:widowControl w:val="0"/>
        <w:spacing w:after="0" w:line="240" w:lineRule="auto"/>
        <w:ind w:right="-90"/>
        <w:rPr>
          <w:szCs w:val="24"/>
        </w:rPr>
      </w:pPr>
      <w:r w:rsidRPr="00816DDD">
        <w:rPr>
          <w:rFonts w:hint="cs"/>
          <w:szCs w:val="24"/>
        </w:rPr>
        <w:t xml:space="preserve">With the abandonment of the gold standard in 1973, the values of major currencies have been </w:t>
      </w:r>
      <w:r w:rsidRPr="00816DDD">
        <w:rPr>
          <w:rFonts w:hint="cs"/>
          <w:szCs w:val="24"/>
        </w:rPr>
        <w:lastRenderedPageBreak/>
        <w:t xml:space="preserve">allowed to float.  A fixed exchange rate system was replaced by a flexible exchange rate system in most developed countries so exchange rates could rise or fall in response to local economic conditions or external shocks like hyperinflation, oil price increases, or global financial crises.  The new floating rate system has responded well to these adverse conditions, but companies must now devote more time to managing exchange rate risk.  </w:t>
      </w:r>
    </w:p>
    <w:p w14:paraId="4EACA448" w14:textId="77777777" w:rsidR="00DD5D46" w:rsidRPr="00816DDD" w:rsidRDefault="00DD5D46" w:rsidP="00DD5D46">
      <w:pPr>
        <w:widowControl w:val="0"/>
        <w:spacing w:after="0" w:line="240" w:lineRule="auto"/>
        <w:rPr>
          <w:szCs w:val="24"/>
        </w:rPr>
      </w:pPr>
    </w:p>
    <w:p w14:paraId="50273D17" w14:textId="2FB303EB" w:rsidR="00DD5D46" w:rsidRPr="00816DDD" w:rsidRDefault="00DD5D46" w:rsidP="00DD5D46">
      <w:pPr>
        <w:widowControl w:val="0"/>
        <w:spacing w:after="0" w:line="240" w:lineRule="auto"/>
        <w:rPr>
          <w:szCs w:val="24"/>
        </w:rPr>
      </w:pPr>
      <w:r w:rsidRPr="00816DDD">
        <w:rPr>
          <w:rFonts w:hint="cs"/>
          <w:szCs w:val="24"/>
        </w:rPr>
        <w:t xml:space="preserve">When companies export products, they </w:t>
      </w:r>
      <w:r w:rsidR="004C5156">
        <w:rPr>
          <w:szCs w:val="24"/>
        </w:rPr>
        <w:t>are usually</w:t>
      </w:r>
      <w:r w:rsidRPr="00816DDD">
        <w:rPr>
          <w:rFonts w:hint="cs"/>
          <w:szCs w:val="24"/>
        </w:rPr>
        <w:t xml:space="preserve"> paid in their </w:t>
      </w:r>
      <w:r w:rsidR="002507E0">
        <w:rPr>
          <w:szCs w:val="24"/>
        </w:rPr>
        <w:t xml:space="preserve">own </w:t>
      </w:r>
      <w:r w:rsidRPr="00816DDD">
        <w:rPr>
          <w:rFonts w:hint="cs"/>
          <w:szCs w:val="24"/>
        </w:rPr>
        <w:t xml:space="preserve">currencies and pay for imports in the corresponding foreign currencies.  </w:t>
      </w:r>
      <w:bookmarkStart w:id="8" w:name="_Hlk73187551"/>
      <w:r w:rsidRPr="00816DDD">
        <w:rPr>
          <w:rFonts w:hint="cs"/>
          <w:szCs w:val="24"/>
        </w:rPr>
        <w:t>Anytime companies agree to receive or make payments in a foreign currency in the future, they are at risk because the exchange rate may change between the initial date of the transaction and the settlement date</w:t>
      </w:r>
      <w:r w:rsidR="00AA0B27">
        <w:rPr>
          <w:szCs w:val="24"/>
        </w:rPr>
        <w:t>,</w:t>
      </w:r>
      <w:r w:rsidRPr="00816DDD">
        <w:rPr>
          <w:rFonts w:hint="cs"/>
          <w:szCs w:val="24"/>
        </w:rPr>
        <w:t xml:space="preserve"> resulting in a foreign exchange gain or loss </w:t>
      </w:r>
      <w:bookmarkEnd w:id="8"/>
      <w:r w:rsidRPr="00816DDD">
        <w:rPr>
          <w:rFonts w:hint="cs"/>
          <w:szCs w:val="24"/>
        </w:rPr>
        <w:t xml:space="preserve">– this is called transaction risk.  </w:t>
      </w:r>
      <w:r w:rsidR="00C247A9" w:rsidRPr="00816DDD">
        <w:rPr>
          <w:szCs w:val="24"/>
        </w:rPr>
        <w:t>C</w:t>
      </w:r>
      <w:r w:rsidRPr="00816DDD">
        <w:rPr>
          <w:rFonts w:hint="cs"/>
          <w:szCs w:val="24"/>
        </w:rPr>
        <w:t>ompanies can hedge exchange rate risk using forward</w:t>
      </w:r>
      <w:r w:rsidR="00C247A9" w:rsidRPr="00816DDD">
        <w:rPr>
          <w:szCs w:val="24"/>
        </w:rPr>
        <w:t>, futures, swaps, and options</w:t>
      </w:r>
      <w:r w:rsidRPr="00816DDD">
        <w:rPr>
          <w:rFonts w:hint="cs"/>
          <w:szCs w:val="24"/>
        </w:rPr>
        <w:t>, but some businesses may decide not to hedge</w:t>
      </w:r>
      <w:r w:rsidR="00AA0B27">
        <w:rPr>
          <w:szCs w:val="24"/>
        </w:rPr>
        <w:t>,</w:t>
      </w:r>
      <w:r w:rsidRPr="00816DDD">
        <w:rPr>
          <w:rFonts w:hint="cs"/>
          <w:szCs w:val="24"/>
        </w:rPr>
        <w:t xml:space="preserve"> thinking that any gains or losses will eventually cancel out or that the firm can profit by speculating on exchange rate movements.  </w:t>
      </w:r>
    </w:p>
    <w:p w14:paraId="0C5F7A85" w14:textId="77777777" w:rsidR="00DD5D46" w:rsidRPr="00816DDD" w:rsidRDefault="00DD5D46" w:rsidP="00DD5D46">
      <w:pPr>
        <w:widowControl w:val="0"/>
        <w:spacing w:after="0" w:line="240" w:lineRule="auto"/>
        <w:rPr>
          <w:szCs w:val="24"/>
        </w:rPr>
      </w:pPr>
    </w:p>
    <w:p w14:paraId="45EBE7A7" w14:textId="0F98F842" w:rsidR="00DD5D46" w:rsidRPr="00816DDD" w:rsidRDefault="00DD5D46" w:rsidP="000B59F9">
      <w:pPr>
        <w:widowControl w:val="0"/>
        <w:spacing w:after="0" w:line="240" w:lineRule="auto"/>
        <w:ind w:right="-306"/>
        <w:rPr>
          <w:szCs w:val="24"/>
        </w:rPr>
      </w:pPr>
      <w:r w:rsidRPr="00816DDD">
        <w:rPr>
          <w:rFonts w:hint="cs"/>
          <w:szCs w:val="24"/>
        </w:rPr>
        <w:t>Under International Financial Reporting Standards (IFRS), unhedged exchange rate gains and losses are recognized.  Unrealized gains or losses are recognized at the end of each accounting period, and an adjustment is made when the transaction is settled in subsequent accounting periods.  For example, a Canadian company purchased merchandise for USD 100,000 from a U.S. supplier on September 1 with payment on December 1.  The current exchange rate is CAD/USD 1.2486, but it was CAD/USD 1.2493 on December 1.  The CAD has depreciated relative to the USD</w:t>
      </w:r>
      <w:r w:rsidR="00984302">
        <w:rPr>
          <w:szCs w:val="24"/>
        </w:rPr>
        <w:t xml:space="preserve"> so that</w:t>
      </w:r>
      <w:r w:rsidRPr="00816DDD">
        <w:rPr>
          <w:rFonts w:hint="cs"/>
          <w:szCs w:val="24"/>
        </w:rPr>
        <w:t xml:space="preserve"> the Canadian company will experience a foreign exchange loss.  The journal entries would be:</w:t>
      </w:r>
    </w:p>
    <w:p w14:paraId="0622D95F" w14:textId="77777777" w:rsidR="00DD5D46" w:rsidRPr="00816DDD" w:rsidRDefault="00DD5D46" w:rsidP="00DD5D46">
      <w:pPr>
        <w:widowControl w:val="0"/>
        <w:spacing w:after="0" w:line="240" w:lineRule="auto"/>
        <w:rPr>
          <w:szCs w:val="24"/>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700"/>
        <w:gridCol w:w="1440"/>
        <w:gridCol w:w="1440"/>
      </w:tblGrid>
      <w:tr w:rsidR="00816DDD" w:rsidRPr="00816DDD" w14:paraId="42BAA658" w14:textId="77777777" w:rsidTr="00567210">
        <w:tc>
          <w:tcPr>
            <w:tcW w:w="1350" w:type="dxa"/>
          </w:tcPr>
          <w:p w14:paraId="01F9D3FA" w14:textId="77777777" w:rsidR="00DD5D46" w:rsidRPr="00816DDD" w:rsidRDefault="00DD5D46" w:rsidP="00567210">
            <w:pPr>
              <w:widowControl w:val="0"/>
              <w:rPr>
                <w:sz w:val="20"/>
                <w:szCs w:val="20"/>
              </w:rPr>
            </w:pPr>
            <w:r w:rsidRPr="00816DDD">
              <w:rPr>
                <w:rFonts w:hint="cs"/>
                <w:sz w:val="20"/>
                <w:szCs w:val="20"/>
              </w:rPr>
              <w:t>September 1</w:t>
            </w:r>
          </w:p>
        </w:tc>
        <w:tc>
          <w:tcPr>
            <w:tcW w:w="2700" w:type="dxa"/>
          </w:tcPr>
          <w:p w14:paraId="6845D5B7" w14:textId="77777777" w:rsidR="00DD5D46" w:rsidRPr="00816DDD" w:rsidRDefault="00DD5D46" w:rsidP="00567210">
            <w:pPr>
              <w:widowControl w:val="0"/>
              <w:rPr>
                <w:sz w:val="20"/>
                <w:szCs w:val="20"/>
              </w:rPr>
            </w:pPr>
            <w:r w:rsidRPr="00816DDD">
              <w:rPr>
                <w:rFonts w:hint="cs"/>
                <w:sz w:val="20"/>
                <w:szCs w:val="20"/>
              </w:rPr>
              <w:t>Purchases</w:t>
            </w:r>
          </w:p>
        </w:tc>
        <w:tc>
          <w:tcPr>
            <w:tcW w:w="1440" w:type="dxa"/>
          </w:tcPr>
          <w:p w14:paraId="5A24BAA7" w14:textId="77777777" w:rsidR="00DD5D46" w:rsidRPr="00816DDD" w:rsidRDefault="00DD5D46" w:rsidP="00567210">
            <w:pPr>
              <w:widowControl w:val="0"/>
              <w:jc w:val="right"/>
              <w:rPr>
                <w:sz w:val="20"/>
                <w:szCs w:val="20"/>
              </w:rPr>
            </w:pPr>
            <w:r w:rsidRPr="00816DDD">
              <w:rPr>
                <w:rFonts w:hint="cs"/>
                <w:sz w:val="20"/>
                <w:szCs w:val="20"/>
              </w:rPr>
              <w:t>CAD 124,860</w:t>
            </w:r>
          </w:p>
        </w:tc>
        <w:tc>
          <w:tcPr>
            <w:tcW w:w="1440" w:type="dxa"/>
          </w:tcPr>
          <w:p w14:paraId="4E197C19" w14:textId="77777777" w:rsidR="00DD5D46" w:rsidRPr="00816DDD" w:rsidRDefault="00DD5D46" w:rsidP="00567210">
            <w:pPr>
              <w:widowControl w:val="0"/>
              <w:jc w:val="right"/>
              <w:rPr>
                <w:sz w:val="20"/>
                <w:szCs w:val="20"/>
              </w:rPr>
            </w:pPr>
          </w:p>
        </w:tc>
      </w:tr>
      <w:tr w:rsidR="00816DDD" w:rsidRPr="00816DDD" w14:paraId="1942EAB7" w14:textId="77777777" w:rsidTr="00567210">
        <w:tc>
          <w:tcPr>
            <w:tcW w:w="1350" w:type="dxa"/>
          </w:tcPr>
          <w:p w14:paraId="0D8C60F4" w14:textId="77777777" w:rsidR="00DD5D46" w:rsidRPr="00816DDD" w:rsidRDefault="00DD5D46" w:rsidP="00567210">
            <w:pPr>
              <w:widowControl w:val="0"/>
              <w:rPr>
                <w:sz w:val="20"/>
                <w:szCs w:val="20"/>
              </w:rPr>
            </w:pPr>
          </w:p>
        </w:tc>
        <w:tc>
          <w:tcPr>
            <w:tcW w:w="2700" w:type="dxa"/>
          </w:tcPr>
          <w:p w14:paraId="5D702218" w14:textId="77777777" w:rsidR="00DD5D46" w:rsidRPr="00816DDD" w:rsidRDefault="00DD5D46" w:rsidP="00567210">
            <w:pPr>
              <w:widowControl w:val="0"/>
              <w:rPr>
                <w:sz w:val="20"/>
                <w:szCs w:val="20"/>
              </w:rPr>
            </w:pPr>
            <w:r w:rsidRPr="00816DDD">
              <w:rPr>
                <w:rFonts w:hint="cs"/>
                <w:sz w:val="20"/>
                <w:szCs w:val="20"/>
              </w:rPr>
              <w:t xml:space="preserve">    </w:t>
            </w:r>
            <w:r w:rsidRPr="00816DDD">
              <w:rPr>
                <w:rFonts w:hint="cs"/>
                <w:sz w:val="20"/>
                <w:szCs w:val="20"/>
                <w:vertAlign w:val="superscript"/>
              </w:rPr>
              <w:t>1</w:t>
            </w:r>
            <w:r w:rsidRPr="00816DDD">
              <w:rPr>
                <w:rFonts w:hint="cs"/>
                <w:sz w:val="20"/>
                <w:szCs w:val="20"/>
              </w:rPr>
              <w:t>Accounts payable</w:t>
            </w:r>
          </w:p>
        </w:tc>
        <w:tc>
          <w:tcPr>
            <w:tcW w:w="1440" w:type="dxa"/>
          </w:tcPr>
          <w:p w14:paraId="31D8C810" w14:textId="77777777" w:rsidR="00DD5D46" w:rsidRPr="00816DDD" w:rsidRDefault="00DD5D46" w:rsidP="00567210">
            <w:pPr>
              <w:widowControl w:val="0"/>
              <w:jc w:val="right"/>
              <w:rPr>
                <w:sz w:val="20"/>
                <w:szCs w:val="20"/>
              </w:rPr>
            </w:pPr>
          </w:p>
        </w:tc>
        <w:tc>
          <w:tcPr>
            <w:tcW w:w="1440" w:type="dxa"/>
          </w:tcPr>
          <w:p w14:paraId="647FE361" w14:textId="77777777" w:rsidR="00DD5D46" w:rsidRPr="00816DDD" w:rsidRDefault="00DD5D46" w:rsidP="00567210">
            <w:pPr>
              <w:widowControl w:val="0"/>
              <w:jc w:val="right"/>
              <w:rPr>
                <w:sz w:val="20"/>
                <w:szCs w:val="20"/>
              </w:rPr>
            </w:pPr>
            <w:r w:rsidRPr="00816DDD">
              <w:rPr>
                <w:rFonts w:hint="cs"/>
                <w:sz w:val="20"/>
                <w:szCs w:val="20"/>
              </w:rPr>
              <w:t>CAD 124,860</w:t>
            </w:r>
          </w:p>
        </w:tc>
      </w:tr>
      <w:tr w:rsidR="00816DDD" w:rsidRPr="00816DDD" w14:paraId="6EAC8EBF" w14:textId="77777777" w:rsidTr="00567210">
        <w:tc>
          <w:tcPr>
            <w:tcW w:w="1350" w:type="dxa"/>
          </w:tcPr>
          <w:p w14:paraId="3733263A" w14:textId="77777777" w:rsidR="00DD5D46" w:rsidRPr="00816DDD" w:rsidRDefault="00DD5D46" w:rsidP="00567210">
            <w:pPr>
              <w:widowControl w:val="0"/>
              <w:rPr>
                <w:sz w:val="20"/>
                <w:szCs w:val="20"/>
              </w:rPr>
            </w:pPr>
          </w:p>
        </w:tc>
        <w:tc>
          <w:tcPr>
            <w:tcW w:w="2700" w:type="dxa"/>
          </w:tcPr>
          <w:p w14:paraId="404E5E4E" w14:textId="77777777" w:rsidR="00DD5D46" w:rsidRPr="00816DDD" w:rsidRDefault="00DD5D46" w:rsidP="00567210">
            <w:pPr>
              <w:widowControl w:val="0"/>
              <w:rPr>
                <w:sz w:val="20"/>
                <w:szCs w:val="20"/>
              </w:rPr>
            </w:pPr>
            <w:r w:rsidRPr="00816DDD">
              <w:rPr>
                <w:rFonts w:hint="cs"/>
                <w:sz w:val="20"/>
                <w:szCs w:val="20"/>
                <w:vertAlign w:val="superscript"/>
              </w:rPr>
              <w:t>1</w:t>
            </w:r>
            <w:r w:rsidRPr="00816DDD">
              <w:rPr>
                <w:rFonts w:hint="cs"/>
                <w:sz w:val="20"/>
                <w:szCs w:val="20"/>
              </w:rPr>
              <w:t>(100,000) (1.2486)</w:t>
            </w:r>
          </w:p>
        </w:tc>
        <w:tc>
          <w:tcPr>
            <w:tcW w:w="1440" w:type="dxa"/>
          </w:tcPr>
          <w:p w14:paraId="1984AB02" w14:textId="77777777" w:rsidR="00DD5D46" w:rsidRPr="00816DDD" w:rsidRDefault="00DD5D46" w:rsidP="00567210">
            <w:pPr>
              <w:widowControl w:val="0"/>
              <w:jc w:val="right"/>
              <w:rPr>
                <w:sz w:val="20"/>
                <w:szCs w:val="20"/>
              </w:rPr>
            </w:pPr>
          </w:p>
        </w:tc>
        <w:tc>
          <w:tcPr>
            <w:tcW w:w="1440" w:type="dxa"/>
          </w:tcPr>
          <w:p w14:paraId="11A128F2" w14:textId="77777777" w:rsidR="00DD5D46" w:rsidRPr="00816DDD" w:rsidRDefault="00DD5D46" w:rsidP="00567210">
            <w:pPr>
              <w:widowControl w:val="0"/>
              <w:jc w:val="right"/>
              <w:rPr>
                <w:sz w:val="20"/>
                <w:szCs w:val="20"/>
              </w:rPr>
            </w:pPr>
          </w:p>
        </w:tc>
      </w:tr>
      <w:tr w:rsidR="00816DDD" w:rsidRPr="00816DDD" w14:paraId="6609A27F" w14:textId="77777777" w:rsidTr="00567210">
        <w:tc>
          <w:tcPr>
            <w:tcW w:w="1350" w:type="dxa"/>
          </w:tcPr>
          <w:p w14:paraId="6CED367C" w14:textId="77777777" w:rsidR="00DD5D46" w:rsidRPr="00816DDD" w:rsidRDefault="00DD5D46" w:rsidP="00567210">
            <w:pPr>
              <w:widowControl w:val="0"/>
              <w:rPr>
                <w:sz w:val="20"/>
                <w:szCs w:val="20"/>
              </w:rPr>
            </w:pPr>
          </w:p>
        </w:tc>
        <w:tc>
          <w:tcPr>
            <w:tcW w:w="2700" w:type="dxa"/>
          </w:tcPr>
          <w:p w14:paraId="6350320C" w14:textId="77777777" w:rsidR="00DD5D46" w:rsidRPr="00816DDD" w:rsidRDefault="00DD5D46" w:rsidP="00567210">
            <w:pPr>
              <w:widowControl w:val="0"/>
              <w:rPr>
                <w:sz w:val="20"/>
                <w:szCs w:val="20"/>
              </w:rPr>
            </w:pPr>
          </w:p>
        </w:tc>
        <w:tc>
          <w:tcPr>
            <w:tcW w:w="1440" w:type="dxa"/>
          </w:tcPr>
          <w:p w14:paraId="169CF212" w14:textId="77777777" w:rsidR="00DD5D46" w:rsidRPr="00816DDD" w:rsidRDefault="00DD5D46" w:rsidP="00567210">
            <w:pPr>
              <w:widowControl w:val="0"/>
              <w:jc w:val="right"/>
              <w:rPr>
                <w:sz w:val="20"/>
                <w:szCs w:val="20"/>
              </w:rPr>
            </w:pPr>
          </w:p>
        </w:tc>
        <w:tc>
          <w:tcPr>
            <w:tcW w:w="1440" w:type="dxa"/>
          </w:tcPr>
          <w:p w14:paraId="1DFF4BBF" w14:textId="77777777" w:rsidR="00DD5D46" w:rsidRPr="00816DDD" w:rsidRDefault="00DD5D46" w:rsidP="00567210">
            <w:pPr>
              <w:widowControl w:val="0"/>
              <w:jc w:val="right"/>
              <w:rPr>
                <w:sz w:val="20"/>
                <w:szCs w:val="20"/>
              </w:rPr>
            </w:pPr>
          </w:p>
        </w:tc>
      </w:tr>
      <w:tr w:rsidR="00816DDD" w:rsidRPr="00816DDD" w14:paraId="653A4FD5" w14:textId="77777777" w:rsidTr="00567210">
        <w:tc>
          <w:tcPr>
            <w:tcW w:w="1350" w:type="dxa"/>
          </w:tcPr>
          <w:p w14:paraId="1AABC040" w14:textId="77777777" w:rsidR="00DD5D46" w:rsidRPr="00816DDD" w:rsidRDefault="00DD5D46" w:rsidP="00567210">
            <w:pPr>
              <w:widowControl w:val="0"/>
              <w:rPr>
                <w:sz w:val="20"/>
                <w:szCs w:val="20"/>
              </w:rPr>
            </w:pPr>
            <w:r w:rsidRPr="00816DDD">
              <w:rPr>
                <w:rFonts w:hint="cs"/>
                <w:sz w:val="20"/>
                <w:szCs w:val="20"/>
              </w:rPr>
              <w:t>December 1</w:t>
            </w:r>
          </w:p>
        </w:tc>
        <w:tc>
          <w:tcPr>
            <w:tcW w:w="2700" w:type="dxa"/>
          </w:tcPr>
          <w:p w14:paraId="49FB101F" w14:textId="77777777" w:rsidR="00DD5D46" w:rsidRPr="00816DDD" w:rsidRDefault="00DD5D46" w:rsidP="00567210">
            <w:pPr>
              <w:widowControl w:val="0"/>
              <w:rPr>
                <w:sz w:val="20"/>
                <w:szCs w:val="20"/>
              </w:rPr>
            </w:pPr>
            <w:r w:rsidRPr="00816DDD">
              <w:rPr>
                <w:rFonts w:hint="cs"/>
                <w:sz w:val="20"/>
                <w:szCs w:val="20"/>
              </w:rPr>
              <w:t>Accounts payable</w:t>
            </w:r>
          </w:p>
        </w:tc>
        <w:tc>
          <w:tcPr>
            <w:tcW w:w="1440" w:type="dxa"/>
          </w:tcPr>
          <w:p w14:paraId="3FA649EE" w14:textId="77777777" w:rsidR="00DD5D46" w:rsidRPr="00816DDD" w:rsidRDefault="00DD5D46" w:rsidP="00567210">
            <w:pPr>
              <w:widowControl w:val="0"/>
              <w:jc w:val="right"/>
              <w:rPr>
                <w:sz w:val="20"/>
                <w:szCs w:val="20"/>
              </w:rPr>
            </w:pPr>
            <w:r w:rsidRPr="00816DDD">
              <w:rPr>
                <w:rFonts w:hint="cs"/>
                <w:sz w:val="20"/>
                <w:szCs w:val="20"/>
              </w:rPr>
              <w:t>CAD 124,860</w:t>
            </w:r>
          </w:p>
        </w:tc>
        <w:tc>
          <w:tcPr>
            <w:tcW w:w="1440" w:type="dxa"/>
          </w:tcPr>
          <w:p w14:paraId="696F130A" w14:textId="77777777" w:rsidR="00DD5D46" w:rsidRPr="00816DDD" w:rsidRDefault="00DD5D46" w:rsidP="00567210">
            <w:pPr>
              <w:widowControl w:val="0"/>
              <w:jc w:val="right"/>
              <w:rPr>
                <w:sz w:val="20"/>
                <w:szCs w:val="20"/>
              </w:rPr>
            </w:pPr>
          </w:p>
        </w:tc>
      </w:tr>
      <w:tr w:rsidR="00816DDD" w:rsidRPr="00816DDD" w14:paraId="60C414D8" w14:textId="77777777" w:rsidTr="00567210">
        <w:tc>
          <w:tcPr>
            <w:tcW w:w="1350" w:type="dxa"/>
          </w:tcPr>
          <w:p w14:paraId="0915791F" w14:textId="77777777" w:rsidR="00DD5D46" w:rsidRPr="00816DDD" w:rsidRDefault="00DD5D46" w:rsidP="00567210">
            <w:pPr>
              <w:widowControl w:val="0"/>
              <w:rPr>
                <w:sz w:val="20"/>
                <w:szCs w:val="20"/>
              </w:rPr>
            </w:pPr>
          </w:p>
        </w:tc>
        <w:tc>
          <w:tcPr>
            <w:tcW w:w="2700" w:type="dxa"/>
          </w:tcPr>
          <w:p w14:paraId="17D44C77" w14:textId="77777777" w:rsidR="00DD5D46" w:rsidRPr="00816DDD" w:rsidRDefault="00DD5D46" w:rsidP="00567210">
            <w:pPr>
              <w:widowControl w:val="0"/>
              <w:rPr>
                <w:sz w:val="20"/>
                <w:szCs w:val="20"/>
              </w:rPr>
            </w:pPr>
            <w:r w:rsidRPr="00816DDD">
              <w:rPr>
                <w:rFonts w:hint="cs"/>
                <w:sz w:val="20"/>
                <w:szCs w:val="20"/>
                <w:vertAlign w:val="superscript"/>
              </w:rPr>
              <w:t>1</w:t>
            </w:r>
            <w:r w:rsidRPr="00816DDD">
              <w:rPr>
                <w:rFonts w:hint="cs"/>
                <w:sz w:val="20"/>
                <w:szCs w:val="20"/>
              </w:rPr>
              <w:t>Foreign exchange loss</w:t>
            </w:r>
          </w:p>
        </w:tc>
        <w:tc>
          <w:tcPr>
            <w:tcW w:w="1440" w:type="dxa"/>
          </w:tcPr>
          <w:p w14:paraId="46863F88" w14:textId="77777777" w:rsidR="00DD5D46" w:rsidRPr="00816DDD" w:rsidRDefault="00DD5D46" w:rsidP="00567210">
            <w:pPr>
              <w:widowControl w:val="0"/>
              <w:jc w:val="right"/>
              <w:rPr>
                <w:sz w:val="20"/>
                <w:szCs w:val="20"/>
              </w:rPr>
            </w:pPr>
            <w:r w:rsidRPr="00816DDD">
              <w:rPr>
                <w:rFonts w:hint="cs"/>
                <w:sz w:val="20"/>
                <w:szCs w:val="20"/>
              </w:rPr>
              <w:t>CAD 70</w:t>
            </w:r>
          </w:p>
        </w:tc>
        <w:tc>
          <w:tcPr>
            <w:tcW w:w="1440" w:type="dxa"/>
          </w:tcPr>
          <w:p w14:paraId="27401721" w14:textId="77777777" w:rsidR="00DD5D46" w:rsidRPr="00816DDD" w:rsidRDefault="00DD5D46" w:rsidP="00567210">
            <w:pPr>
              <w:widowControl w:val="0"/>
              <w:jc w:val="right"/>
              <w:rPr>
                <w:sz w:val="20"/>
                <w:szCs w:val="20"/>
              </w:rPr>
            </w:pPr>
          </w:p>
        </w:tc>
      </w:tr>
      <w:tr w:rsidR="00816DDD" w:rsidRPr="00816DDD" w14:paraId="57B0DDB9" w14:textId="77777777" w:rsidTr="00567210">
        <w:tc>
          <w:tcPr>
            <w:tcW w:w="1350" w:type="dxa"/>
          </w:tcPr>
          <w:p w14:paraId="5D6083B9" w14:textId="77777777" w:rsidR="00DD5D46" w:rsidRPr="00816DDD" w:rsidRDefault="00DD5D46" w:rsidP="00567210">
            <w:pPr>
              <w:widowControl w:val="0"/>
              <w:rPr>
                <w:sz w:val="20"/>
                <w:szCs w:val="20"/>
              </w:rPr>
            </w:pPr>
          </w:p>
        </w:tc>
        <w:tc>
          <w:tcPr>
            <w:tcW w:w="2700" w:type="dxa"/>
          </w:tcPr>
          <w:p w14:paraId="5AAA4791" w14:textId="77777777" w:rsidR="00DD5D46" w:rsidRPr="00816DDD" w:rsidRDefault="00DD5D46" w:rsidP="00567210">
            <w:pPr>
              <w:widowControl w:val="0"/>
              <w:rPr>
                <w:sz w:val="20"/>
                <w:szCs w:val="20"/>
              </w:rPr>
            </w:pPr>
            <w:r w:rsidRPr="00816DDD">
              <w:rPr>
                <w:rFonts w:hint="cs"/>
                <w:sz w:val="20"/>
                <w:szCs w:val="20"/>
              </w:rPr>
              <w:t xml:space="preserve">    </w:t>
            </w:r>
            <w:r w:rsidRPr="00816DDD">
              <w:rPr>
                <w:rFonts w:hint="cs"/>
                <w:sz w:val="20"/>
                <w:szCs w:val="20"/>
                <w:vertAlign w:val="superscript"/>
              </w:rPr>
              <w:t>2</w:t>
            </w:r>
            <w:r w:rsidRPr="00816DDD">
              <w:rPr>
                <w:rFonts w:hint="cs"/>
                <w:sz w:val="20"/>
                <w:szCs w:val="20"/>
              </w:rPr>
              <w:t>Cash</w:t>
            </w:r>
          </w:p>
        </w:tc>
        <w:tc>
          <w:tcPr>
            <w:tcW w:w="1440" w:type="dxa"/>
          </w:tcPr>
          <w:p w14:paraId="51886D13" w14:textId="77777777" w:rsidR="00DD5D46" w:rsidRPr="00816DDD" w:rsidRDefault="00DD5D46" w:rsidP="00567210">
            <w:pPr>
              <w:widowControl w:val="0"/>
              <w:jc w:val="right"/>
              <w:rPr>
                <w:sz w:val="20"/>
                <w:szCs w:val="20"/>
              </w:rPr>
            </w:pPr>
          </w:p>
        </w:tc>
        <w:tc>
          <w:tcPr>
            <w:tcW w:w="1440" w:type="dxa"/>
          </w:tcPr>
          <w:p w14:paraId="79CD6537" w14:textId="77777777" w:rsidR="00DD5D46" w:rsidRPr="00816DDD" w:rsidRDefault="00DD5D46" w:rsidP="00567210">
            <w:pPr>
              <w:widowControl w:val="0"/>
              <w:jc w:val="right"/>
              <w:rPr>
                <w:sz w:val="20"/>
                <w:szCs w:val="20"/>
              </w:rPr>
            </w:pPr>
            <w:r w:rsidRPr="00816DDD">
              <w:rPr>
                <w:rFonts w:hint="cs"/>
                <w:sz w:val="20"/>
                <w:szCs w:val="20"/>
              </w:rPr>
              <w:t>CAD 124,930</w:t>
            </w:r>
          </w:p>
        </w:tc>
      </w:tr>
      <w:tr w:rsidR="00816DDD" w:rsidRPr="00816DDD" w14:paraId="40C535A9" w14:textId="77777777" w:rsidTr="00567210">
        <w:tc>
          <w:tcPr>
            <w:tcW w:w="1350" w:type="dxa"/>
          </w:tcPr>
          <w:p w14:paraId="3736EE08" w14:textId="77777777" w:rsidR="00DD5D46" w:rsidRPr="00816DDD" w:rsidRDefault="00DD5D46" w:rsidP="00567210">
            <w:pPr>
              <w:widowControl w:val="0"/>
              <w:rPr>
                <w:sz w:val="20"/>
                <w:szCs w:val="20"/>
              </w:rPr>
            </w:pPr>
          </w:p>
        </w:tc>
        <w:tc>
          <w:tcPr>
            <w:tcW w:w="2700" w:type="dxa"/>
          </w:tcPr>
          <w:p w14:paraId="51566AFE" w14:textId="77777777" w:rsidR="00DD5D46" w:rsidRPr="00816DDD" w:rsidRDefault="00DD5D46" w:rsidP="00567210">
            <w:pPr>
              <w:widowControl w:val="0"/>
              <w:rPr>
                <w:sz w:val="20"/>
                <w:szCs w:val="20"/>
              </w:rPr>
            </w:pPr>
            <w:r w:rsidRPr="00816DDD">
              <w:rPr>
                <w:rFonts w:hint="cs"/>
                <w:sz w:val="20"/>
                <w:szCs w:val="20"/>
                <w:vertAlign w:val="superscript"/>
              </w:rPr>
              <w:t>1</w:t>
            </w:r>
            <w:r w:rsidRPr="00816DDD">
              <w:rPr>
                <w:rFonts w:hint="cs"/>
                <w:sz w:val="20"/>
                <w:szCs w:val="20"/>
              </w:rPr>
              <w:t>(100,000) (1.2486 – 1.2493)</w:t>
            </w:r>
          </w:p>
          <w:p w14:paraId="7B53740D" w14:textId="77777777" w:rsidR="00DD5D46" w:rsidRPr="00816DDD" w:rsidRDefault="00DD5D46" w:rsidP="00567210">
            <w:pPr>
              <w:widowControl w:val="0"/>
              <w:rPr>
                <w:sz w:val="20"/>
                <w:szCs w:val="20"/>
              </w:rPr>
            </w:pPr>
            <w:r w:rsidRPr="00816DDD">
              <w:rPr>
                <w:rFonts w:hint="cs"/>
                <w:sz w:val="20"/>
                <w:szCs w:val="20"/>
                <w:vertAlign w:val="superscript"/>
              </w:rPr>
              <w:t>2</w:t>
            </w:r>
            <w:r w:rsidRPr="00816DDD">
              <w:rPr>
                <w:rFonts w:hint="cs"/>
                <w:sz w:val="20"/>
                <w:szCs w:val="20"/>
              </w:rPr>
              <w:t>(100,000) (1.2493)</w:t>
            </w:r>
          </w:p>
        </w:tc>
        <w:tc>
          <w:tcPr>
            <w:tcW w:w="1440" w:type="dxa"/>
          </w:tcPr>
          <w:p w14:paraId="4B981880" w14:textId="77777777" w:rsidR="00DD5D46" w:rsidRPr="00816DDD" w:rsidRDefault="00DD5D46" w:rsidP="00567210">
            <w:pPr>
              <w:widowControl w:val="0"/>
              <w:jc w:val="right"/>
              <w:rPr>
                <w:sz w:val="20"/>
                <w:szCs w:val="20"/>
              </w:rPr>
            </w:pPr>
          </w:p>
        </w:tc>
        <w:tc>
          <w:tcPr>
            <w:tcW w:w="1440" w:type="dxa"/>
          </w:tcPr>
          <w:p w14:paraId="24F0B10E" w14:textId="77777777" w:rsidR="00DD5D46" w:rsidRPr="00816DDD" w:rsidRDefault="00DD5D46" w:rsidP="00567210">
            <w:pPr>
              <w:widowControl w:val="0"/>
              <w:jc w:val="right"/>
              <w:rPr>
                <w:sz w:val="20"/>
                <w:szCs w:val="20"/>
              </w:rPr>
            </w:pPr>
          </w:p>
        </w:tc>
      </w:tr>
    </w:tbl>
    <w:p w14:paraId="68A86A7C" w14:textId="77777777" w:rsidR="00DD5D46" w:rsidRPr="00816DDD" w:rsidRDefault="00DD5D46" w:rsidP="00DD5D46">
      <w:pPr>
        <w:widowControl w:val="0"/>
        <w:spacing w:after="0" w:line="240" w:lineRule="auto"/>
        <w:rPr>
          <w:szCs w:val="24"/>
        </w:rPr>
      </w:pPr>
      <w:r w:rsidRPr="00816DDD">
        <w:rPr>
          <w:rFonts w:hint="cs"/>
          <w:szCs w:val="24"/>
        </w:rPr>
        <w:t xml:space="preserve"> </w:t>
      </w:r>
    </w:p>
    <w:p w14:paraId="200A0BF0" w14:textId="3014CB6C" w:rsidR="00DD5D46" w:rsidRPr="00816DDD" w:rsidRDefault="00DD5D46" w:rsidP="00DD5D46">
      <w:pPr>
        <w:widowControl w:val="0"/>
        <w:spacing w:after="0" w:line="240" w:lineRule="auto"/>
        <w:ind w:right="-180"/>
        <w:rPr>
          <w:szCs w:val="24"/>
        </w:rPr>
      </w:pPr>
      <w:r w:rsidRPr="00816DDD">
        <w:rPr>
          <w:rFonts w:hint="cs"/>
          <w:szCs w:val="24"/>
        </w:rPr>
        <w:t>What if the transaction was not settled until February 1</w:t>
      </w:r>
      <w:r w:rsidR="00AA0B27">
        <w:rPr>
          <w:szCs w:val="24"/>
        </w:rPr>
        <w:t>,</w:t>
      </w:r>
      <w:r w:rsidRPr="00816DDD">
        <w:rPr>
          <w:rFonts w:hint="cs"/>
          <w:szCs w:val="24"/>
        </w:rPr>
        <w:t xml:space="preserve"> when the exchange was CAD/USD 1.2489?  The exchange rate </w:t>
      </w:r>
      <w:r w:rsidR="008F7037">
        <w:rPr>
          <w:szCs w:val="24"/>
        </w:rPr>
        <w:t>at</w:t>
      </w:r>
      <w:r w:rsidRPr="00816DDD">
        <w:rPr>
          <w:rFonts w:hint="cs"/>
          <w:szCs w:val="24"/>
        </w:rPr>
        <w:t xml:space="preserve"> year-end on December 31 was CAD/USD 1.2498. </w:t>
      </w:r>
    </w:p>
    <w:p w14:paraId="7E2298A1" w14:textId="77777777" w:rsidR="00DD5D46" w:rsidRPr="00816DDD" w:rsidRDefault="00DD5D46" w:rsidP="00DD5D46">
      <w:pPr>
        <w:widowControl w:val="0"/>
        <w:spacing w:after="0" w:line="240" w:lineRule="auto"/>
        <w:rPr>
          <w:szCs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2785"/>
        <w:gridCol w:w="1440"/>
        <w:gridCol w:w="1440"/>
      </w:tblGrid>
      <w:tr w:rsidR="00816DDD" w:rsidRPr="00816DDD" w14:paraId="34FE2679" w14:textId="77777777" w:rsidTr="00567210">
        <w:tc>
          <w:tcPr>
            <w:tcW w:w="1445" w:type="dxa"/>
          </w:tcPr>
          <w:p w14:paraId="1046613C" w14:textId="77777777" w:rsidR="00DD5D46" w:rsidRPr="00816DDD" w:rsidRDefault="00DD5D46" w:rsidP="00567210">
            <w:pPr>
              <w:widowControl w:val="0"/>
              <w:rPr>
                <w:sz w:val="20"/>
                <w:szCs w:val="20"/>
              </w:rPr>
            </w:pPr>
            <w:r w:rsidRPr="00816DDD">
              <w:rPr>
                <w:rFonts w:hint="cs"/>
                <w:sz w:val="20"/>
                <w:szCs w:val="20"/>
              </w:rPr>
              <w:t>September 1</w:t>
            </w:r>
          </w:p>
        </w:tc>
        <w:tc>
          <w:tcPr>
            <w:tcW w:w="2785" w:type="dxa"/>
          </w:tcPr>
          <w:p w14:paraId="770D014D" w14:textId="77777777" w:rsidR="00DD5D46" w:rsidRPr="00816DDD" w:rsidRDefault="00DD5D46" w:rsidP="00567210">
            <w:pPr>
              <w:widowControl w:val="0"/>
              <w:rPr>
                <w:sz w:val="20"/>
                <w:szCs w:val="20"/>
              </w:rPr>
            </w:pPr>
            <w:r w:rsidRPr="00816DDD">
              <w:rPr>
                <w:rFonts w:hint="cs"/>
                <w:sz w:val="20"/>
                <w:szCs w:val="20"/>
              </w:rPr>
              <w:t>Purchases</w:t>
            </w:r>
          </w:p>
        </w:tc>
        <w:tc>
          <w:tcPr>
            <w:tcW w:w="1440" w:type="dxa"/>
          </w:tcPr>
          <w:p w14:paraId="48F7E441" w14:textId="77777777" w:rsidR="00DD5D46" w:rsidRPr="00816DDD" w:rsidRDefault="00DD5D46" w:rsidP="00567210">
            <w:pPr>
              <w:widowControl w:val="0"/>
              <w:jc w:val="right"/>
              <w:rPr>
                <w:sz w:val="20"/>
                <w:szCs w:val="20"/>
              </w:rPr>
            </w:pPr>
            <w:r w:rsidRPr="00816DDD">
              <w:rPr>
                <w:rFonts w:hint="cs"/>
                <w:sz w:val="20"/>
                <w:szCs w:val="20"/>
              </w:rPr>
              <w:t>CAD 124,860</w:t>
            </w:r>
          </w:p>
        </w:tc>
        <w:tc>
          <w:tcPr>
            <w:tcW w:w="1440" w:type="dxa"/>
          </w:tcPr>
          <w:p w14:paraId="68FC6010" w14:textId="77777777" w:rsidR="00DD5D46" w:rsidRPr="00816DDD" w:rsidRDefault="00DD5D46" w:rsidP="00567210">
            <w:pPr>
              <w:widowControl w:val="0"/>
              <w:jc w:val="right"/>
              <w:rPr>
                <w:sz w:val="20"/>
                <w:szCs w:val="20"/>
              </w:rPr>
            </w:pPr>
          </w:p>
        </w:tc>
      </w:tr>
      <w:tr w:rsidR="00816DDD" w:rsidRPr="00816DDD" w14:paraId="32B9AF3F" w14:textId="77777777" w:rsidTr="00567210">
        <w:tc>
          <w:tcPr>
            <w:tcW w:w="1445" w:type="dxa"/>
          </w:tcPr>
          <w:p w14:paraId="1516AF93" w14:textId="77777777" w:rsidR="00DD5D46" w:rsidRPr="00816DDD" w:rsidRDefault="00DD5D46" w:rsidP="00567210">
            <w:pPr>
              <w:widowControl w:val="0"/>
              <w:rPr>
                <w:sz w:val="20"/>
                <w:szCs w:val="20"/>
              </w:rPr>
            </w:pPr>
          </w:p>
        </w:tc>
        <w:tc>
          <w:tcPr>
            <w:tcW w:w="2785" w:type="dxa"/>
          </w:tcPr>
          <w:p w14:paraId="225A560C" w14:textId="77777777" w:rsidR="00DD5D46" w:rsidRPr="00816DDD" w:rsidRDefault="00DD5D46" w:rsidP="00567210">
            <w:pPr>
              <w:widowControl w:val="0"/>
              <w:rPr>
                <w:sz w:val="20"/>
                <w:szCs w:val="20"/>
              </w:rPr>
            </w:pPr>
            <w:r w:rsidRPr="00816DDD">
              <w:rPr>
                <w:rFonts w:hint="cs"/>
                <w:sz w:val="20"/>
                <w:szCs w:val="20"/>
              </w:rPr>
              <w:t xml:space="preserve">    </w:t>
            </w:r>
            <w:r w:rsidRPr="00816DDD">
              <w:rPr>
                <w:rFonts w:hint="cs"/>
                <w:sz w:val="20"/>
                <w:szCs w:val="20"/>
                <w:vertAlign w:val="superscript"/>
              </w:rPr>
              <w:t>1</w:t>
            </w:r>
            <w:r w:rsidRPr="00816DDD">
              <w:rPr>
                <w:rFonts w:hint="cs"/>
                <w:sz w:val="20"/>
                <w:szCs w:val="20"/>
              </w:rPr>
              <w:t>Accounts payable</w:t>
            </w:r>
          </w:p>
        </w:tc>
        <w:tc>
          <w:tcPr>
            <w:tcW w:w="1440" w:type="dxa"/>
          </w:tcPr>
          <w:p w14:paraId="7EA3D44F" w14:textId="77777777" w:rsidR="00DD5D46" w:rsidRPr="00816DDD" w:rsidRDefault="00DD5D46" w:rsidP="00567210">
            <w:pPr>
              <w:widowControl w:val="0"/>
              <w:jc w:val="right"/>
              <w:rPr>
                <w:sz w:val="20"/>
                <w:szCs w:val="20"/>
              </w:rPr>
            </w:pPr>
          </w:p>
        </w:tc>
        <w:tc>
          <w:tcPr>
            <w:tcW w:w="1440" w:type="dxa"/>
          </w:tcPr>
          <w:p w14:paraId="6E14E59D" w14:textId="77777777" w:rsidR="00DD5D46" w:rsidRPr="00816DDD" w:rsidRDefault="00DD5D46" w:rsidP="00567210">
            <w:pPr>
              <w:widowControl w:val="0"/>
              <w:jc w:val="right"/>
              <w:rPr>
                <w:sz w:val="20"/>
                <w:szCs w:val="20"/>
              </w:rPr>
            </w:pPr>
            <w:r w:rsidRPr="00816DDD">
              <w:rPr>
                <w:rFonts w:hint="cs"/>
                <w:sz w:val="20"/>
                <w:szCs w:val="20"/>
              </w:rPr>
              <w:t>CAD 124,860</w:t>
            </w:r>
          </w:p>
        </w:tc>
      </w:tr>
      <w:tr w:rsidR="00816DDD" w:rsidRPr="00816DDD" w14:paraId="03BFCC14" w14:textId="77777777" w:rsidTr="00567210">
        <w:tc>
          <w:tcPr>
            <w:tcW w:w="1445" w:type="dxa"/>
          </w:tcPr>
          <w:p w14:paraId="1884DD6E" w14:textId="77777777" w:rsidR="00DD5D46" w:rsidRPr="00816DDD" w:rsidRDefault="00DD5D46" w:rsidP="00567210">
            <w:pPr>
              <w:widowControl w:val="0"/>
              <w:rPr>
                <w:sz w:val="20"/>
                <w:szCs w:val="20"/>
              </w:rPr>
            </w:pPr>
          </w:p>
        </w:tc>
        <w:tc>
          <w:tcPr>
            <w:tcW w:w="2785" w:type="dxa"/>
          </w:tcPr>
          <w:p w14:paraId="3C2F7AC3" w14:textId="77777777" w:rsidR="00DD5D46" w:rsidRPr="00816DDD" w:rsidRDefault="00DD5D46" w:rsidP="00567210">
            <w:pPr>
              <w:widowControl w:val="0"/>
              <w:rPr>
                <w:sz w:val="20"/>
                <w:szCs w:val="20"/>
              </w:rPr>
            </w:pPr>
            <w:r w:rsidRPr="00816DDD">
              <w:rPr>
                <w:rFonts w:hint="cs"/>
                <w:sz w:val="20"/>
                <w:szCs w:val="20"/>
                <w:vertAlign w:val="superscript"/>
              </w:rPr>
              <w:t>1</w:t>
            </w:r>
            <w:r w:rsidRPr="00816DDD">
              <w:rPr>
                <w:rFonts w:hint="cs"/>
                <w:sz w:val="20"/>
                <w:szCs w:val="20"/>
              </w:rPr>
              <w:t>(100,000) (1.2486)</w:t>
            </w:r>
          </w:p>
        </w:tc>
        <w:tc>
          <w:tcPr>
            <w:tcW w:w="1440" w:type="dxa"/>
          </w:tcPr>
          <w:p w14:paraId="04854E5B" w14:textId="77777777" w:rsidR="00DD5D46" w:rsidRPr="00816DDD" w:rsidRDefault="00DD5D46" w:rsidP="00567210">
            <w:pPr>
              <w:widowControl w:val="0"/>
              <w:jc w:val="right"/>
              <w:rPr>
                <w:sz w:val="20"/>
                <w:szCs w:val="20"/>
              </w:rPr>
            </w:pPr>
          </w:p>
        </w:tc>
        <w:tc>
          <w:tcPr>
            <w:tcW w:w="1440" w:type="dxa"/>
          </w:tcPr>
          <w:p w14:paraId="091B9F6D" w14:textId="77777777" w:rsidR="00DD5D46" w:rsidRPr="00816DDD" w:rsidRDefault="00DD5D46" w:rsidP="00567210">
            <w:pPr>
              <w:widowControl w:val="0"/>
              <w:jc w:val="right"/>
              <w:rPr>
                <w:sz w:val="20"/>
                <w:szCs w:val="20"/>
              </w:rPr>
            </w:pPr>
          </w:p>
        </w:tc>
      </w:tr>
      <w:tr w:rsidR="00816DDD" w:rsidRPr="00816DDD" w14:paraId="25FA577D" w14:textId="77777777" w:rsidTr="00567210">
        <w:tc>
          <w:tcPr>
            <w:tcW w:w="1445" w:type="dxa"/>
          </w:tcPr>
          <w:p w14:paraId="7004C692" w14:textId="77777777" w:rsidR="00DD5D46" w:rsidRPr="00816DDD" w:rsidRDefault="00DD5D46" w:rsidP="00567210">
            <w:pPr>
              <w:widowControl w:val="0"/>
              <w:rPr>
                <w:sz w:val="20"/>
                <w:szCs w:val="20"/>
              </w:rPr>
            </w:pPr>
          </w:p>
        </w:tc>
        <w:tc>
          <w:tcPr>
            <w:tcW w:w="2785" w:type="dxa"/>
          </w:tcPr>
          <w:p w14:paraId="0242CECC" w14:textId="77777777" w:rsidR="00DD5D46" w:rsidRPr="00816DDD" w:rsidRDefault="00DD5D46" w:rsidP="00567210">
            <w:pPr>
              <w:widowControl w:val="0"/>
              <w:rPr>
                <w:sz w:val="20"/>
                <w:szCs w:val="20"/>
              </w:rPr>
            </w:pPr>
          </w:p>
        </w:tc>
        <w:tc>
          <w:tcPr>
            <w:tcW w:w="1440" w:type="dxa"/>
          </w:tcPr>
          <w:p w14:paraId="5804100C" w14:textId="77777777" w:rsidR="00DD5D46" w:rsidRPr="00816DDD" w:rsidRDefault="00DD5D46" w:rsidP="00567210">
            <w:pPr>
              <w:widowControl w:val="0"/>
              <w:jc w:val="right"/>
              <w:rPr>
                <w:sz w:val="20"/>
                <w:szCs w:val="20"/>
              </w:rPr>
            </w:pPr>
          </w:p>
        </w:tc>
        <w:tc>
          <w:tcPr>
            <w:tcW w:w="1440" w:type="dxa"/>
          </w:tcPr>
          <w:p w14:paraId="2EE86F15" w14:textId="77777777" w:rsidR="00DD5D46" w:rsidRPr="00816DDD" w:rsidRDefault="00DD5D46" w:rsidP="00567210">
            <w:pPr>
              <w:widowControl w:val="0"/>
              <w:jc w:val="right"/>
              <w:rPr>
                <w:sz w:val="20"/>
                <w:szCs w:val="20"/>
              </w:rPr>
            </w:pPr>
          </w:p>
        </w:tc>
      </w:tr>
      <w:tr w:rsidR="00816DDD" w:rsidRPr="00816DDD" w14:paraId="52FDF0D4" w14:textId="77777777" w:rsidTr="00567210">
        <w:tc>
          <w:tcPr>
            <w:tcW w:w="1445" w:type="dxa"/>
          </w:tcPr>
          <w:p w14:paraId="0FFB2E9B" w14:textId="77777777" w:rsidR="00DD5D46" w:rsidRPr="00816DDD" w:rsidRDefault="00DD5D46" w:rsidP="00567210">
            <w:pPr>
              <w:widowControl w:val="0"/>
              <w:rPr>
                <w:sz w:val="20"/>
                <w:szCs w:val="20"/>
              </w:rPr>
            </w:pPr>
            <w:r w:rsidRPr="00816DDD">
              <w:rPr>
                <w:rFonts w:hint="cs"/>
                <w:sz w:val="20"/>
                <w:szCs w:val="20"/>
              </w:rPr>
              <w:t>December 31</w:t>
            </w:r>
          </w:p>
        </w:tc>
        <w:tc>
          <w:tcPr>
            <w:tcW w:w="2785" w:type="dxa"/>
          </w:tcPr>
          <w:p w14:paraId="32379BC5" w14:textId="77777777" w:rsidR="00DD5D46" w:rsidRPr="00816DDD" w:rsidRDefault="00DD5D46" w:rsidP="00567210">
            <w:pPr>
              <w:widowControl w:val="0"/>
              <w:rPr>
                <w:sz w:val="20"/>
                <w:szCs w:val="20"/>
              </w:rPr>
            </w:pPr>
            <w:r w:rsidRPr="00816DDD">
              <w:rPr>
                <w:rFonts w:hint="cs"/>
                <w:sz w:val="20"/>
                <w:szCs w:val="20"/>
                <w:vertAlign w:val="superscript"/>
              </w:rPr>
              <w:t>1</w:t>
            </w:r>
            <w:r w:rsidRPr="00816DDD">
              <w:rPr>
                <w:rFonts w:hint="cs"/>
                <w:sz w:val="20"/>
                <w:szCs w:val="20"/>
              </w:rPr>
              <w:t>Foreign exchange loss</w:t>
            </w:r>
          </w:p>
        </w:tc>
        <w:tc>
          <w:tcPr>
            <w:tcW w:w="1440" w:type="dxa"/>
          </w:tcPr>
          <w:p w14:paraId="1A5F9588" w14:textId="77777777" w:rsidR="00DD5D46" w:rsidRPr="00816DDD" w:rsidRDefault="00DD5D46" w:rsidP="00567210">
            <w:pPr>
              <w:widowControl w:val="0"/>
              <w:jc w:val="right"/>
              <w:rPr>
                <w:sz w:val="20"/>
                <w:szCs w:val="20"/>
              </w:rPr>
            </w:pPr>
            <w:r w:rsidRPr="00816DDD">
              <w:rPr>
                <w:rFonts w:hint="cs"/>
                <w:sz w:val="20"/>
                <w:szCs w:val="20"/>
              </w:rPr>
              <w:t>CAD 120</w:t>
            </w:r>
          </w:p>
        </w:tc>
        <w:tc>
          <w:tcPr>
            <w:tcW w:w="1440" w:type="dxa"/>
          </w:tcPr>
          <w:p w14:paraId="5FF84863" w14:textId="77777777" w:rsidR="00DD5D46" w:rsidRPr="00816DDD" w:rsidRDefault="00DD5D46" w:rsidP="00567210">
            <w:pPr>
              <w:widowControl w:val="0"/>
              <w:jc w:val="right"/>
              <w:rPr>
                <w:sz w:val="20"/>
                <w:szCs w:val="20"/>
              </w:rPr>
            </w:pPr>
          </w:p>
        </w:tc>
      </w:tr>
      <w:tr w:rsidR="00816DDD" w:rsidRPr="00816DDD" w14:paraId="7C8DBB5B" w14:textId="77777777" w:rsidTr="00567210">
        <w:tc>
          <w:tcPr>
            <w:tcW w:w="1445" w:type="dxa"/>
          </w:tcPr>
          <w:p w14:paraId="730CE04F" w14:textId="77777777" w:rsidR="00DD5D46" w:rsidRPr="00816DDD" w:rsidRDefault="00DD5D46" w:rsidP="00567210">
            <w:pPr>
              <w:widowControl w:val="0"/>
              <w:rPr>
                <w:sz w:val="20"/>
                <w:szCs w:val="20"/>
              </w:rPr>
            </w:pPr>
          </w:p>
        </w:tc>
        <w:tc>
          <w:tcPr>
            <w:tcW w:w="2785" w:type="dxa"/>
          </w:tcPr>
          <w:p w14:paraId="50063B19" w14:textId="77777777" w:rsidR="00DD5D46" w:rsidRPr="00816DDD" w:rsidRDefault="00DD5D46" w:rsidP="00567210">
            <w:pPr>
              <w:widowControl w:val="0"/>
              <w:rPr>
                <w:sz w:val="20"/>
                <w:szCs w:val="20"/>
              </w:rPr>
            </w:pPr>
            <w:r w:rsidRPr="00816DDD">
              <w:rPr>
                <w:rFonts w:hint="cs"/>
                <w:sz w:val="20"/>
                <w:szCs w:val="20"/>
              </w:rPr>
              <w:t xml:space="preserve">    Accounts payable</w:t>
            </w:r>
          </w:p>
        </w:tc>
        <w:tc>
          <w:tcPr>
            <w:tcW w:w="1440" w:type="dxa"/>
          </w:tcPr>
          <w:p w14:paraId="1A16066D" w14:textId="77777777" w:rsidR="00DD5D46" w:rsidRPr="00816DDD" w:rsidRDefault="00DD5D46" w:rsidP="00567210">
            <w:pPr>
              <w:widowControl w:val="0"/>
              <w:jc w:val="right"/>
              <w:rPr>
                <w:sz w:val="20"/>
                <w:szCs w:val="20"/>
              </w:rPr>
            </w:pPr>
          </w:p>
        </w:tc>
        <w:tc>
          <w:tcPr>
            <w:tcW w:w="1440" w:type="dxa"/>
          </w:tcPr>
          <w:p w14:paraId="5A013CFE" w14:textId="77777777" w:rsidR="00DD5D46" w:rsidRPr="00816DDD" w:rsidRDefault="00DD5D46" w:rsidP="00567210">
            <w:pPr>
              <w:widowControl w:val="0"/>
              <w:jc w:val="right"/>
              <w:rPr>
                <w:sz w:val="20"/>
                <w:szCs w:val="20"/>
              </w:rPr>
            </w:pPr>
            <w:r w:rsidRPr="00816DDD">
              <w:rPr>
                <w:rFonts w:hint="cs"/>
                <w:sz w:val="20"/>
                <w:szCs w:val="20"/>
              </w:rPr>
              <w:t>CAD 120</w:t>
            </w:r>
          </w:p>
        </w:tc>
      </w:tr>
      <w:tr w:rsidR="00816DDD" w:rsidRPr="00816DDD" w14:paraId="2EF7254E" w14:textId="77777777" w:rsidTr="00567210">
        <w:tc>
          <w:tcPr>
            <w:tcW w:w="1445" w:type="dxa"/>
          </w:tcPr>
          <w:p w14:paraId="64597F27" w14:textId="77777777" w:rsidR="00DD5D46" w:rsidRPr="00816DDD" w:rsidRDefault="00DD5D46" w:rsidP="00567210">
            <w:pPr>
              <w:widowControl w:val="0"/>
              <w:rPr>
                <w:sz w:val="20"/>
                <w:szCs w:val="20"/>
              </w:rPr>
            </w:pPr>
          </w:p>
        </w:tc>
        <w:tc>
          <w:tcPr>
            <w:tcW w:w="2785" w:type="dxa"/>
          </w:tcPr>
          <w:p w14:paraId="586FE6FD" w14:textId="77777777" w:rsidR="00DD5D46" w:rsidRPr="00816DDD" w:rsidRDefault="00DD5D46" w:rsidP="00567210">
            <w:pPr>
              <w:widowControl w:val="0"/>
              <w:rPr>
                <w:sz w:val="20"/>
                <w:szCs w:val="20"/>
              </w:rPr>
            </w:pPr>
            <w:r w:rsidRPr="00816DDD">
              <w:rPr>
                <w:rFonts w:hint="cs"/>
                <w:sz w:val="20"/>
                <w:szCs w:val="20"/>
                <w:vertAlign w:val="superscript"/>
              </w:rPr>
              <w:t>1</w:t>
            </w:r>
            <w:r w:rsidRPr="00816DDD">
              <w:rPr>
                <w:rFonts w:hint="cs"/>
                <w:sz w:val="20"/>
                <w:szCs w:val="20"/>
              </w:rPr>
              <w:t>(100,000) (1.2486 – 1.2498)</w:t>
            </w:r>
          </w:p>
        </w:tc>
        <w:tc>
          <w:tcPr>
            <w:tcW w:w="1440" w:type="dxa"/>
          </w:tcPr>
          <w:p w14:paraId="57FD605C" w14:textId="77777777" w:rsidR="00DD5D46" w:rsidRPr="00816DDD" w:rsidRDefault="00DD5D46" w:rsidP="00567210">
            <w:pPr>
              <w:widowControl w:val="0"/>
              <w:jc w:val="right"/>
              <w:rPr>
                <w:sz w:val="20"/>
                <w:szCs w:val="20"/>
              </w:rPr>
            </w:pPr>
          </w:p>
        </w:tc>
        <w:tc>
          <w:tcPr>
            <w:tcW w:w="1440" w:type="dxa"/>
          </w:tcPr>
          <w:p w14:paraId="2E668B34" w14:textId="77777777" w:rsidR="00DD5D46" w:rsidRPr="00816DDD" w:rsidRDefault="00DD5D46" w:rsidP="00567210">
            <w:pPr>
              <w:widowControl w:val="0"/>
              <w:jc w:val="right"/>
              <w:rPr>
                <w:sz w:val="20"/>
                <w:szCs w:val="20"/>
              </w:rPr>
            </w:pPr>
          </w:p>
        </w:tc>
      </w:tr>
      <w:tr w:rsidR="00816DDD" w:rsidRPr="00816DDD" w14:paraId="0AE2DA2A" w14:textId="77777777" w:rsidTr="00567210">
        <w:tc>
          <w:tcPr>
            <w:tcW w:w="1445" w:type="dxa"/>
          </w:tcPr>
          <w:p w14:paraId="5A5EEBE3" w14:textId="77777777" w:rsidR="00DD5D46" w:rsidRPr="00816DDD" w:rsidRDefault="00DD5D46" w:rsidP="00567210">
            <w:pPr>
              <w:widowControl w:val="0"/>
              <w:rPr>
                <w:sz w:val="20"/>
                <w:szCs w:val="20"/>
              </w:rPr>
            </w:pPr>
          </w:p>
        </w:tc>
        <w:tc>
          <w:tcPr>
            <w:tcW w:w="2785" w:type="dxa"/>
          </w:tcPr>
          <w:p w14:paraId="068C5968" w14:textId="77777777" w:rsidR="00DD5D46" w:rsidRPr="00816DDD" w:rsidRDefault="00DD5D46" w:rsidP="00567210">
            <w:pPr>
              <w:widowControl w:val="0"/>
              <w:rPr>
                <w:sz w:val="20"/>
                <w:szCs w:val="20"/>
              </w:rPr>
            </w:pPr>
          </w:p>
        </w:tc>
        <w:tc>
          <w:tcPr>
            <w:tcW w:w="1440" w:type="dxa"/>
          </w:tcPr>
          <w:p w14:paraId="514E9A83" w14:textId="77777777" w:rsidR="00DD5D46" w:rsidRPr="00816DDD" w:rsidRDefault="00DD5D46" w:rsidP="00567210">
            <w:pPr>
              <w:widowControl w:val="0"/>
              <w:jc w:val="right"/>
              <w:rPr>
                <w:sz w:val="20"/>
                <w:szCs w:val="20"/>
              </w:rPr>
            </w:pPr>
          </w:p>
        </w:tc>
        <w:tc>
          <w:tcPr>
            <w:tcW w:w="1440" w:type="dxa"/>
          </w:tcPr>
          <w:p w14:paraId="4F8A621D" w14:textId="77777777" w:rsidR="00DD5D46" w:rsidRPr="00816DDD" w:rsidRDefault="00DD5D46" w:rsidP="00567210">
            <w:pPr>
              <w:widowControl w:val="0"/>
              <w:jc w:val="right"/>
              <w:rPr>
                <w:sz w:val="20"/>
                <w:szCs w:val="20"/>
              </w:rPr>
            </w:pPr>
          </w:p>
        </w:tc>
      </w:tr>
      <w:tr w:rsidR="00816DDD" w:rsidRPr="00816DDD" w14:paraId="5229C0AA" w14:textId="77777777" w:rsidTr="00567210">
        <w:tc>
          <w:tcPr>
            <w:tcW w:w="1445" w:type="dxa"/>
          </w:tcPr>
          <w:p w14:paraId="3BD838C0" w14:textId="77777777" w:rsidR="00DD5D46" w:rsidRPr="00816DDD" w:rsidRDefault="00DD5D46" w:rsidP="00567210">
            <w:pPr>
              <w:widowControl w:val="0"/>
              <w:rPr>
                <w:sz w:val="20"/>
                <w:szCs w:val="20"/>
              </w:rPr>
            </w:pPr>
            <w:r w:rsidRPr="00816DDD">
              <w:rPr>
                <w:rFonts w:hint="cs"/>
                <w:sz w:val="20"/>
                <w:szCs w:val="20"/>
              </w:rPr>
              <w:t>February 1</w:t>
            </w:r>
          </w:p>
        </w:tc>
        <w:tc>
          <w:tcPr>
            <w:tcW w:w="2785" w:type="dxa"/>
          </w:tcPr>
          <w:p w14:paraId="71060021" w14:textId="77777777" w:rsidR="00DD5D46" w:rsidRPr="00816DDD" w:rsidRDefault="00DD5D46" w:rsidP="00567210">
            <w:pPr>
              <w:widowControl w:val="0"/>
              <w:rPr>
                <w:sz w:val="20"/>
                <w:szCs w:val="20"/>
              </w:rPr>
            </w:pPr>
            <w:r w:rsidRPr="00816DDD">
              <w:rPr>
                <w:rFonts w:hint="cs"/>
                <w:sz w:val="20"/>
                <w:szCs w:val="20"/>
              </w:rPr>
              <w:t>Accounts payable</w:t>
            </w:r>
          </w:p>
        </w:tc>
        <w:tc>
          <w:tcPr>
            <w:tcW w:w="1440" w:type="dxa"/>
          </w:tcPr>
          <w:p w14:paraId="0E3FDECA" w14:textId="77777777" w:rsidR="00DD5D46" w:rsidRPr="00816DDD" w:rsidRDefault="00DD5D46" w:rsidP="00567210">
            <w:pPr>
              <w:widowControl w:val="0"/>
              <w:jc w:val="right"/>
              <w:rPr>
                <w:sz w:val="20"/>
                <w:szCs w:val="20"/>
              </w:rPr>
            </w:pPr>
            <w:r w:rsidRPr="00816DDD">
              <w:rPr>
                <w:rFonts w:hint="cs"/>
                <w:sz w:val="20"/>
                <w:szCs w:val="20"/>
              </w:rPr>
              <w:t>CAD 124,980</w:t>
            </w:r>
          </w:p>
        </w:tc>
        <w:tc>
          <w:tcPr>
            <w:tcW w:w="1440" w:type="dxa"/>
          </w:tcPr>
          <w:p w14:paraId="435294F8" w14:textId="77777777" w:rsidR="00DD5D46" w:rsidRPr="00816DDD" w:rsidRDefault="00DD5D46" w:rsidP="00567210">
            <w:pPr>
              <w:widowControl w:val="0"/>
              <w:jc w:val="right"/>
              <w:rPr>
                <w:sz w:val="20"/>
                <w:szCs w:val="20"/>
              </w:rPr>
            </w:pPr>
          </w:p>
        </w:tc>
      </w:tr>
      <w:tr w:rsidR="00816DDD" w:rsidRPr="00816DDD" w14:paraId="41903758" w14:textId="77777777" w:rsidTr="00567210">
        <w:tc>
          <w:tcPr>
            <w:tcW w:w="1445" w:type="dxa"/>
          </w:tcPr>
          <w:p w14:paraId="26D11A0B" w14:textId="77777777" w:rsidR="00DD5D46" w:rsidRPr="00816DDD" w:rsidRDefault="00DD5D46" w:rsidP="00567210">
            <w:pPr>
              <w:widowControl w:val="0"/>
              <w:rPr>
                <w:sz w:val="20"/>
                <w:szCs w:val="20"/>
              </w:rPr>
            </w:pPr>
          </w:p>
        </w:tc>
        <w:tc>
          <w:tcPr>
            <w:tcW w:w="2785" w:type="dxa"/>
          </w:tcPr>
          <w:p w14:paraId="3EE0DB22" w14:textId="77777777" w:rsidR="00DD5D46" w:rsidRPr="00816DDD" w:rsidRDefault="00DD5D46" w:rsidP="00567210">
            <w:pPr>
              <w:widowControl w:val="0"/>
              <w:rPr>
                <w:sz w:val="20"/>
                <w:szCs w:val="20"/>
              </w:rPr>
            </w:pPr>
            <w:r w:rsidRPr="00816DDD">
              <w:rPr>
                <w:rFonts w:hint="cs"/>
                <w:sz w:val="20"/>
                <w:szCs w:val="20"/>
              </w:rPr>
              <w:t xml:space="preserve">    </w:t>
            </w:r>
            <w:r w:rsidRPr="00816DDD">
              <w:rPr>
                <w:rFonts w:hint="cs"/>
                <w:sz w:val="20"/>
                <w:szCs w:val="20"/>
                <w:vertAlign w:val="superscript"/>
              </w:rPr>
              <w:t>1</w:t>
            </w:r>
            <w:r w:rsidRPr="00816DDD">
              <w:rPr>
                <w:rFonts w:hint="cs"/>
                <w:sz w:val="20"/>
                <w:szCs w:val="20"/>
              </w:rPr>
              <w:t>Foreign exchange gain</w:t>
            </w:r>
          </w:p>
        </w:tc>
        <w:tc>
          <w:tcPr>
            <w:tcW w:w="1440" w:type="dxa"/>
          </w:tcPr>
          <w:p w14:paraId="53437799" w14:textId="77777777" w:rsidR="00DD5D46" w:rsidRPr="00816DDD" w:rsidRDefault="00DD5D46" w:rsidP="00567210">
            <w:pPr>
              <w:widowControl w:val="0"/>
              <w:jc w:val="right"/>
              <w:rPr>
                <w:sz w:val="20"/>
                <w:szCs w:val="20"/>
              </w:rPr>
            </w:pPr>
          </w:p>
        </w:tc>
        <w:tc>
          <w:tcPr>
            <w:tcW w:w="1440" w:type="dxa"/>
          </w:tcPr>
          <w:p w14:paraId="5E501706" w14:textId="77777777" w:rsidR="00DD5D46" w:rsidRPr="00816DDD" w:rsidRDefault="00DD5D46" w:rsidP="00567210">
            <w:pPr>
              <w:widowControl w:val="0"/>
              <w:jc w:val="right"/>
              <w:rPr>
                <w:sz w:val="20"/>
                <w:szCs w:val="20"/>
              </w:rPr>
            </w:pPr>
            <w:r w:rsidRPr="00816DDD">
              <w:rPr>
                <w:rFonts w:hint="cs"/>
                <w:sz w:val="20"/>
                <w:szCs w:val="20"/>
              </w:rPr>
              <w:t>CAD 90</w:t>
            </w:r>
          </w:p>
        </w:tc>
      </w:tr>
      <w:tr w:rsidR="00816DDD" w:rsidRPr="00816DDD" w14:paraId="6D016F44" w14:textId="77777777" w:rsidTr="00567210">
        <w:tc>
          <w:tcPr>
            <w:tcW w:w="1445" w:type="dxa"/>
          </w:tcPr>
          <w:p w14:paraId="54A7EF9A" w14:textId="77777777" w:rsidR="00DD5D46" w:rsidRPr="00816DDD" w:rsidRDefault="00DD5D46" w:rsidP="00567210">
            <w:pPr>
              <w:widowControl w:val="0"/>
              <w:rPr>
                <w:sz w:val="20"/>
                <w:szCs w:val="20"/>
              </w:rPr>
            </w:pPr>
          </w:p>
        </w:tc>
        <w:tc>
          <w:tcPr>
            <w:tcW w:w="2785" w:type="dxa"/>
          </w:tcPr>
          <w:p w14:paraId="499FCF78" w14:textId="77777777" w:rsidR="00DD5D46" w:rsidRPr="00816DDD" w:rsidRDefault="00DD5D46" w:rsidP="00567210">
            <w:pPr>
              <w:widowControl w:val="0"/>
              <w:rPr>
                <w:sz w:val="20"/>
                <w:szCs w:val="20"/>
              </w:rPr>
            </w:pPr>
            <w:r w:rsidRPr="00816DDD">
              <w:rPr>
                <w:rFonts w:hint="cs"/>
                <w:sz w:val="20"/>
                <w:szCs w:val="20"/>
              </w:rPr>
              <w:t xml:space="preserve">    </w:t>
            </w:r>
            <w:r w:rsidRPr="00816DDD">
              <w:rPr>
                <w:rFonts w:hint="cs"/>
                <w:sz w:val="20"/>
                <w:szCs w:val="20"/>
                <w:vertAlign w:val="superscript"/>
              </w:rPr>
              <w:t>2</w:t>
            </w:r>
            <w:r w:rsidRPr="00816DDD">
              <w:rPr>
                <w:rFonts w:hint="cs"/>
                <w:sz w:val="20"/>
                <w:szCs w:val="20"/>
              </w:rPr>
              <w:t>Cash</w:t>
            </w:r>
          </w:p>
        </w:tc>
        <w:tc>
          <w:tcPr>
            <w:tcW w:w="1440" w:type="dxa"/>
          </w:tcPr>
          <w:p w14:paraId="12E71759" w14:textId="77777777" w:rsidR="00DD5D46" w:rsidRPr="00816DDD" w:rsidRDefault="00DD5D46" w:rsidP="00567210">
            <w:pPr>
              <w:widowControl w:val="0"/>
              <w:jc w:val="right"/>
              <w:rPr>
                <w:sz w:val="20"/>
                <w:szCs w:val="20"/>
              </w:rPr>
            </w:pPr>
          </w:p>
        </w:tc>
        <w:tc>
          <w:tcPr>
            <w:tcW w:w="1440" w:type="dxa"/>
          </w:tcPr>
          <w:p w14:paraId="46776243" w14:textId="77777777" w:rsidR="00DD5D46" w:rsidRPr="00816DDD" w:rsidRDefault="00DD5D46" w:rsidP="00567210">
            <w:pPr>
              <w:widowControl w:val="0"/>
              <w:jc w:val="right"/>
              <w:rPr>
                <w:sz w:val="20"/>
                <w:szCs w:val="20"/>
              </w:rPr>
            </w:pPr>
            <w:r w:rsidRPr="00816DDD">
              <w:rPr>
                <w:rFonts w:hint="cs"/>
                <w:sz w:val="20"/>
                <w:szCs w:val="20"/>
              </w:rPr>
              <w:t>CAD 124,890</w:t>
            </w:r>
          </w:p>
        </w:tc>
      </w:tr>
      <w:tr w:rsidR="00816DDD" w:rsidRPr="00816DDD" w14:paraId="7BC0454D" w14:textId="77777777" w:rsidTr="00567210">
        <w:tc>
          <w:tcPr>
            <w:tcW w:w="1445" w:type="dxa"/>
          </w:tcPr>
          <w:p w14:paraId="6B16761E" w14:textId="77777777" w:rsidR="00DD5D46" w:rsidRPr="00816DDD" w:rsidRDefault="00DD5D46" w:rsidP="00567210">
            <w:pPr>
              <w:widowControl w:val="0"/>
              <w:rPr>
                <w:sz w:val="20"/>
                <w:szCs w:val="20"/>
              </w:rPr>
            </w:pPr>
          </w:p>
        </w:tc>
        <w:tc>
          <w:tcPr>
            <w:tcW w:w="2785" w:type="dxa"/>
          </w:tcPr>
          <w:p w14:paraId="57BE44D3" w14:textId="77777777" w:rsidR="00DD5D46" w:rsidRPr="00816DDD" w:rsidRDefault="00DD5D46" w:rsidP="00567210">
            <w:pPr>
              <w:widowControl w:val="0"/>
              <w:rPr>
                <w:sz w:val="20"/>
                <w:szCs w:val="20"/>
              </w:rPr>
            </w:pPr>
            <w:r w:rsidRPr="00816DDD">
              <w:rPr>
                <w:rFonts w:hint="cs"/>
                <w:sz w:val="20"/>
                <w:szCs w:val="20"/>
                <w:vertAlign w:val="superscript"/>
              </w:rPr>
              <w:t>1</w:t>
            </w:r>
            <w:r w:rsidRPr="00816DDD">
              <w:rPr>
                <w:rFonts w:hint="cs"/>
                <w:sz w:val="20"/>
                <w:szCs w:val="20"/>
              </w:rPr>
              <w:t>(100,000) (1.2498 – 1.2489)</w:t>
            </w:r>
          </w:p>
        </w:tc>
        <w:tc>
          <w:tcPr>
            <w:tcW w:w="1440" w:type="dxa"/>
          </w:tcPr>
          <w:p w14:paraId="39632A18" w14:textId="77777777" w:rsidR="00DD5D46" w:rsidRPr="00816DDD" w:rsidRDefault="00DD5D46" w:rsidP="00567210">
            <w:pPr>
              <w:widowControl w:val="0"/>
              <w:jc w:val="right"/>
              <w:rPr>
                <w:sz w:val="20"/>
                <w:szCs w:val="20"/>
              </w:rPr>
            </w:pPr>
          </w:p>
        </w:tc>
        <w:tc>
          <w:tcPr>
            <w:tcW w:w="1440" w:type="dxa"/>
          </w:tcPr>
          <w:p w14:paraId="2C52B396" w14:textId="77777777" w:rsidR="00DD5D46" w:rsidRPr="00816DDD" w:rsidRDefault="00DD5D46" w:rsidP="00567210">
            <w:pPr>
              <w:widowControl w:val="0"/>
              <w:jc w:val="right"/>
              <w:rPr>
                <w:sz w:val="20"/>
                <w:szCs w:val="20"/>
              </w:rPr>
            </w:pPr>
          </w:p>
        </w:tc>
      </w:tr>
      <w:tr w:rsidR="00DD5D46" w:rsidRPr="00816DDD" w14:paraId="34D81835" w14:textId="77777777" w:rsidTr="00567210">
        <w:tc>
          <w:tcPr>
            <w:tcW w:w="1445" w:type="dxa"/>
          </w:tcPr>
          <w:p w14:paraId="1A2F8393" w14:textId="77777777" w:rsidR="00DD5D46" w:rsidRPr="00816DDD" w:rsidRDefault="00DD5D46" w:rsidP="00567210">
            <w:pPr>
              <w:widowControl w:val="0"/>
              <w:rPr>
                <w:sz w:val="20"/>
                <w:szCs w:val="20"/>
              </w:rPr>
            </w:pPr>
          </w:p>
        </w:tc>
        <w:tc>
          <w:tcPr>
            <w:tcW w:w="2785" w:type="dxa"/>
          </w:tcPr>
          <w:p w14:paraId="2BD767C2" w14:textId="77777777" w:rsidR="00DD5D46" w:rsidRPr="00816DDD" w:rsidRDefault="00DD5D46" w:rsidP="00567210">
            <w:pPr>
              <w:widowControl w:val="0"/>
              <w:rPr>
                <w:sz w:val="20"/>
                <w:szCs w:val="20"/>
              </w:rPr>
            </w:pPr>
            <w:r w:rsidRPr="00816DDD">
              <w:rPr>
                <w:rFonts w:hint="cs"/>
                <w:sz w:val="20"/>
                <w:szCs w:val="20"/>
                <w:vertAlign w:val="superscript"/>
              </w:rPr>
              <w:t>2</w:t>
            </w:r>
            <w:r w:rsidRPr="00816DDD">
              <w:rPr>
                <w:rFonts w:hint="cs"/>
                <w:sz w:val="20"/>
                <w:szCs w:val="20"/>
              </w:rPr>
              <w:t>(100,000) (1.2489)</w:t>
            </w:r>
          </w:p>
        </w:tc>
        <w:tc>
          <w:tcPr>
            <w:tcW w:w="1440" w:type="dxa"/>
          </w:tcPr>
          <w:p w14:paraId="01B450A7" w14:textId="77777777" w:rsidR="00DD5D46" w:rsidRPr="00816DDD" w:rsidRDefault="00DD5D46" w:rsidP="00567210">
            <w:pPr>
              <w:widowControl w:val="0"/>
              <w:jc w:val="right"/>
              <w:rPr>
                <w:sz w:val="20"/>
                <w:szCs w:val="20"/>
              </w:rPr>
            </w:pPr>
          </w:p>
        </w:tc>
        <w:tc>
          <w:tcPr>
            <w:tcW w:w="1440" w:type="dxa"/>
          </w:tcPr>
          <w:p w14:paraId="7D86BB9B" w14:textId="77777777" w:rsidR="00DD5D46" w:rsidRPr="00816DDD" w:rsidRDefault="00DD5D46" w:rsidP="00567210">
            <w:pPr>
              <w:widowControl w:val="0"/>
              <w:jc w:val="right"/>
              <w:rPr>
                <w:sz w:val="20"/>
                <w:szCs w:val="20"/>
              </w:rPr>
            </w:pPr>
          </w:p>
        </w:tc>
      </w:tr>
    </w:tbl>
    <w:p w14:paraId="456321D3" w14:textId="77777777" w:rsidR="00E16B0B" w:rsidRDefault="00E16B0B" w:rsidP="00B81FE3">
      <w:pPr>
        <w:widowControl w:val="0"/>
        <w:spacing w:after="0" w:line="240" w:lineRule="auto"/>
        <w:ind w:right="-36"/>
        <w:rPr>
          <w:szCs w:val="24"/>
        </w:rPr>
      </w:pPr>
    </w:p>
    <w:p w14:paraId="73DBA727" w14:textId="79BA656F" w:rsidR="00DD5D46" w:rsidRPr="00816DDD" w:rsidRDefault="00DD5D46" w:rsidP="00B81FE3">
      <w:pPr>
        <w:widowControl w:val="0"/>
        <w:spacing w:after="0" w:line="240" w:lineRule="auto"/>
        <w:ind w:right="-36"/>
        <w:rPr>
          <w:szCs w:val="24"/>
        </w:rPr>
      </w:pPr>
      <w:r w:rsidRPr="00816DDD">
        <w:rPr>
          <w:rFonts w:hint="cs"/>
          <w:szCs w:val="24"/>
        </w:rPr>
        <w:lastRenderedPageBreak/>
        <w:t>All foreign exchange gains or losses are included in the income statement and not in other comprehensive income, so they increase the volatility of net income and earnings per share. Companies have the choice of disclosing these gains or losses as either operating or non-operating expenses</w:t>
      </w:r>
      <w:r w:rsidR="00AA0B27">
        <w:rPr>
          <w:szCs w:val="24"/>
        </w:rPr>
        <w:t>,</w:t>
      </w:r>
      <w:r w:rsidRPr="00816DDD">
        <w:rPr>
          <w:rFonts w:hint="cs"/>
          <w:szCs w:val="24"/>
        </w:rPr>
        <w:t xml:space="preserve"> which distort</w:t>
      </w:r>
      <w:r w:rsidR="00C247A9" w:rsidRPr="00816DDD">
        <w:rPr>
          <w:szCs w:val="24"/>
        </w:rPr>
        <w:t>s</w:t>
      </w:r>
      <w:r w:rsidRPr="00816DDD">
        <w:rPr>
          <w:rFonts w:hint="cs"/>
          <w:szCs w:val="24"/>
        </w:rPr>
        <w:t xml:space="preserve"> the operating profit margin ratio. The preferred treatment is to classify these transactions as operating expenses since they regularly occur and are part of </w:t>
      </w:r>
      <w:r w:rsidR="000124F3">
        <w:rPr>
          <w:szCs w:val="24"/>
        </w:rPr>
        <w:t>everyday</w:t>
      </w:r>
      <w:r w:rsidRPr="00816DDD">
        <w:rPr>
          <w:rFonts w:hint="cs"/>
          <w:szCs w:val="24"/>
        </w:rPr>
        <w:t xml:space="preserve"> business activities.</w:t>
      </w:r>
    </w:p>
    <w:p w14:paraId="7FED32A9" w14:textId="77777777" w:rsidR="004517FF" w:rsidRDefault="004517FF" w:rsidP="00DD5D46">
      <w:pPr>
        <w:widowControl w:val="0"/>
        <w:spacing w:after="0" w:line="240" w:lineRule="auto"/>
        <w:rPr>
          <w:b/>
          <w:bCs/>
          <w:szCs w:val="24"/>
        </w:rPr>
      </w:pPr>
    </w:p>
    <w:p w14:paraId="3A6AA03B" w14:textId="42D4FCA6" w:rsidR="00DD5D46" w:rsidRPr="00816DDD" w:rsidRDefault="00DD5D46" w:rsidP="00DD5D46">
      <w:pPr>
        <w:widowControl w:val="0"/>
        <w:spacing w:after="0" w:line="240" w:lineRule="auto"/>
        <w:rPr>
          <w:b/>
          <w:bCs/>
          <w:szCs w:val="24"/>
        </w:rPr>
      </w:pPr>
      <w:r w:rsidRPr="00816DDD">
        <w:rPr>
          <w:b/>
          <w:bCs/>
          <w:szCs w:val="24"/>
        </w:rPr>
        <w:t>Hedging Using Forward Contracts</w:t>
      </w:r>
    </w:p>
    <w:p w14:paraId="3E5E579C" w14:textId="77777777" w:rsidR="00B859CC" w:rsidRPr="00816DDD" w:rsidRDefault="00B859CC" w:rsidP="00B859CC">
      <w:pPr>
        <w:widowControl w:val="0"/>
        <w:spacing w:after="0" w:line="240" w:lineRule="auto"/>
        <w:rPr>
          <w:szCs w:val="24"/>
        </w:rPr>
      </w:pPr>
    </w:p>
    <w:p w14:paraId="72B15A86" w14:textId="49CC7B91" w:rsidR="008778D3" w:rsidRPr="00816DDD" w:rsidRDefault="008778D3" w:rsidP="00B859CC">
      <w:pPr>
        <w:widowControl w:val="0"/>
        <w:spacing w:after="0" w:line="240" w:lineRule="auto"/>
        <w:rPr>
          <w:szCs w:val="24"/>
        </w:rPr>
      </w:pPr>
      <w:r w:rsidRPr="00816DDD">
        <w:rPr>
          <w:szCs w:val="24"/>
        </w:rPr>
        <w:t>Transaction risk can be hedged using forward contracts.</w:t>
      </w:r>
    </w:p>
    <w:p w14:paraId="4609B05E" w14:textId="77777777" w:rsidR="008778D3" w:rsidRPr="00816DDD" w:rsidRDefault="008778D3" w:rsidP="00B859CC">
      <w:pPr>
        <w:widowControl w:val="0"/>
        <w:spacing w:after="0" w:line="240" w:lineRule="auto"/>
        <w:rPr>
          <w:szCs w:val="24"/>
        </w:rPr>
      </w:pPr>
    </w:p>
    <w:p w14:paraId="02315FAD" w14:textId="35A39091" w:rsidR="003C633F" w:rsidRPr="00816DDD" w:rsidRDefault="006E712E" w:rsidP="008778D3">
      <w:pPr>
        <w:widowControl w:val="0"/>
        <w:tabs>
          <w:tab w:val="left" w:pos="810"/>
        </w:tabs>
        <w:spacing w:after="0" w:line="240" w:lineRule="auto"/>
        <w:ind w:left="360"/>
        <w:rPr>
          <w:szCs w:val="24"/>
        </w:rPr>
      </w:pPr>
      <w:r w:rsidRPr="00816DDD">
        <w:rPr>
          <w:b/>
          <w:bCs/>
          <w:szCs w:val="24"/>
        </w:rPr>
        <w:t xml:space="preserve">Forward </w:t>
      </w:r>
      <w:r w:rsidR="00956A63" w:rsidRPr="00816DDD">
        <w:rPr>
          <w:b/>
          <w:bCs/>
          <w:szCs w:val="24"/>
        </w:rPr>
        <w:t>r</w:t>
      </w:r>
      <w:r w:rsidRPr="00816DDD">
        <w:rPr>
          <w:b/>
          <w:bCs/>
          <w:szCs w:val="24"/>
        </w:rPr>
        <w:t>ates.</w:t>
      </w:r>
      <w:r w:rsidRPr="00816DDD">
        <w:rPr>
          <w:szCs w:val="24"/>
        </w:rPr>
        <w:t xml:space="preserve">  </w:t>
      </w:r>
      <w:r w:rsidR="00B859CC" w:rsidRPr="00816DDD">
        <w:rPr>
          <w:rFonts w:hint="cs"/>
          <w:szCs w:val="24"/>
        </w:rPr>
        <w:t xml:space="preserve">A forward rate is the price that a pair of currencies is expected to trade at on some future date.  A company can lock </w:t>
      </w:r>
      <w:r w:rsidR="00B64318" w:rsidRPr="00816DDD">
        <w:rPr>
          <w:szCs w:val="24"/>
        </w:rPr>
        <w:t>in at</w:t>
      </w:r>
      <w:r w:rsidR="00B859CC" w:rsidRPr="00816DDD">
        <w:rPr>
          <w:rFonts w:hint="cs"/>
          <w:szCs w:val="24"/>
        </w:rPr>
        <w:t xml:space="preserve"> this rate today by buying a forward contract to eliminate the exchange rate risk</w:t>
      </w:r>
      <w:r w:rsidR="00B64318">
        <w:rPr>
          <w:szCs w:val="24"/>
        </w:rPr>
        <w:t xml:space="preserve"> so that</w:t>
      </w:r>
      <w:r w:rsidR="00B859CC" w:rsidRPr="00816DDD">
        <w:rPr>
          <w:rFonts w:hint="cs"/>
          <w:szCs w:val="24"/>
        </w:rPr>
        <w:t xml:space="preserve"> it can focus on operations.  </w:t>
      </w:r>
      <w:r w:rsidR="00B859CC" w:rsidRPr="00816DDD">
        <w:rPr>
          <w:rFonts w:hint="cs"/>
          <w:szCs w:val="24"/>
          <w:shd w:val="clear" w:color="auto" w:fill="FFFFFF"/>
        </w:rPr>
        <w:t xml:space="preserve">Currency dealers typically quote forward rates for major currency pairs in </w:t>
      </w:r>
      <w:r w:rsidR="003E6E98">
        <w:rPr>
          <w:szCs w:val="24"/>
          <w:shd w:val="clear" w:color="auto" w:fill="FFFFFF"/>
        </w:rPr>
        <w:t>one-</w:t>
      </w:r>
      <w:r w:rsidR="00B859CC" w:rsidRPr="00816DDD">
        <w:rPr>
          <w:rFonts w:hint="cs"/>
          <w:szCs w:val="24"/>
          <w:shd w:val="clear" w:color="auto" w:fill="FFFFFF"/>
        </w:rPr>
        <w:t>, three</w:t>
      </w:r>
      <w:r w:rsidR="00413AF3" w:rsidRPr="00816DDD">
        <w:rPr>
          <w:szCs w:val="24"/>
          <w:shd w:val="clear" w:color="auto" w:fill="FFFFFF"/>
        </w:rPr>
        <w:t>-</w:t>
      </w:r>
      <w:r w:rsidR="00B859CC" w:rsidRPr="00816DDD">
        <w:rPr>
          <w:rFonts w:hint="cs"/>
          <w:szCs w:val="24"/>
          <w:shd w:val="clear" w:color="auto" w:fill="FFFFFF"/>
        </w:rPr>
        <w:t>, six</w:t>
      </w:r>
      <w:r w:rsidR="00413AF3" w:rsidRPr="00816DDD">
        <w:rPr>
          <w:szCs w:val="24"/>
          <w:shd w:val="clear" w:color="auto" w:fill="FFFFFF"/>
        </w:rPr>
        <w:t>-</w:t>
      </w:r>
      <w:r w:rsidR="00B859CC" w:rsidRPr="00816DDD">
        <w:rPr>
          <w:rFonts w:hint="cs"/>
          <w:szCs w:val="24"/>
          <w:shd w:val="clear" w:color="auto" w:fill="FFFFFF"/>
        </w:rPr>
        <w:t>, nine</w:t>
      </w:r>
      <w:r w:rsidR="00413AF3" w:rsidRPr="00816DDD">
        <w:rPr>
          <w:szCs w:val="24"/>
          <w:shd w:val="clear" w:color="auto" w:fill="FFFFFF"/>
        </w:rPr>
        <w:t>-</w:t>
      </w:r>
      <w:r w:rsidR="00B859CC" w:rsidRPr="00816DDD">
        <w:rPr>
          <w:rFonts w:hint="cs"/>
          <w:szCs w:val="24"/>
          <w:shd w:val="clear" w:color="auto" w:fill="FFFFFF"/>
        </w:rPr>
        <w:t>, or twelve</w:t>
      </w:r>
      <w:r w:rsidR="00413AF3" w:rsidRPr="00816DDD">
        <w:rPr>
          <w:szCs w:val="24"/>
          <w:shd w:val="clear" w:color="auto" w:fill="FFFFFF"/>
        </w:rPr>
        <w:t>-</w:t>
      </w:r>
      <w:r w:rsidR="00B859CC" w:rsidRPr="00816DDD">
        <w:rPr>
          <w:rFonts w:hint="cs"/>
          <w:szCs w:val="24"/>
          <w:shd w:val="clear" w:color="auto" w:fill="FFFFFF"/>
        </w:rPr>
        <w:t>month maturities, but quotations</w:t>
      </w:r>
      <w:r w:rsidR="00C247A9" w:rsidRPr="00816DDD">
        <w:rPr>
          <w:szCs w:val="24"/>
          <w:shd w:val="clear" w:color="auto" w:fill="FFFFFF"/>
        </w:rPr>
        <w:t xml:space="preserve"> may</w:t>
      </w:r>
      <w:r w:rsidR="00B859CC" w:rsidRPr="00816DDD">
        <w:rPr>
          <w:rFonts w:hint="cs"/>
          <w:szCs w:val="24"/>
          <w:shd w:val="clear" w:color="auto" w:fill="FFFFFF"/>
        </w:rPr>
        <w:t xml:space="preserve"> be available for up to five or even ten years.</w:t>
      </w:r>
      <w:r w:rsidR="00B859CC" w:rsidRPr="00816DDD">
        <w:rPr>
          <w:rFonts w:hint="cs"/>
          <w:szCs w:val="24"/>
        </w:rPr>
        <w:t xml:space="preserve">  Forward rate maturities for minor currencies are shorter because of lower trading volume.  </w:t>
      </w:r>
    </w:p>
    <w:p w14:paraId="40521E21" w14:textId="77777777" w:rsidR="003C633F" w:rsidRPr="00816DDD" w:rsidRDefault="003C633F" w:rsidP="008778D3">
      <w:pPr>
        <w:widowControl w:val="0"/>
        <w:tabs>
          <w:tab w:val="left" w:pos="810"/>
        </w:tabs>
        <w:spacing w:after="0" w:line="240" w:lineRule="auto"/>
        <w:ind w:left="360"/>
        <w:rPr>
          <w:szCs w:val="24"/>
        </w:rPr>
      </w:pPr>
    </w:p>
    <w:p w14:paraId="5F2754C7" w14:textId="6D3567E7" w:rsidR="00B859CC" w:rsidRPr="00816DDD" w:rsidRDefault="00B859CC" w:rsidP="008778D3">
      <w:pPr>
        <w:widowControl w:val="0"/>
        <w:tabs>
          <w:tab w:val="left" w:pos="810"/>
        </w:tabs>
        <w:spacing w:after="0" w:line="240" w:lineRule="auto"/>
        <w:ind w:left="360"/>
        <w:rPr>
          <w:szCs w:val="24"/>
        </w:rPr>
      </w:pPr>
      <w:r w:rsidRPr="00816DDD">
        <w:rPr>
          <w:rFonts w:hint="cs"/>
          <w:szCs w:val="24"/>
        </w:rPr>
        <w:t xml:space="preserve">For example, a Canadian company </w:t>
      </w:r>
      <w:r w:rsidR="003C633F" w:rsidRPr="00816DDD">
        <w:rPr>
          <w:szCs w:val="24"/>
        </w:rPr>
        <w:t xml:space="preserve">was able to </w:t>
      </w:r>
      <w:r w:rsidRPr="00816DDD">
        <w:rPr>
          <w:rFonts w:hint="cs"/>
          <w:szCs w:val="24"/>
        </w:rPr>
        <w:t>negotiate a USD 10 million mortgage loan with a U.S. bank at a more competitive rate to finance a new factory in Canada.  Construction will be completed</w:t>
      </w:r>
      <w:r w:rsidR="00413AF3" w:rsidRPr="00816DDD">
        <w:rPr>
          <w:szCs w:val="24"/>
        </w:rPr>
        <w:t>,</w:t>
      </w:r>
      <w:r w:rsidRPr="00816DDD">
        <w:rPr>
          <w:rFonts w:hint="cs"/>
          <w:szCs w:val="24"/>
        </w:rPr>
        <w:t xml:space="preserve"> and the loan </w:t>
      </w:r>
      <w:r w:rsidR="005A6781" w:rsidRPr="00816DDD">
        <w:rPr>
          <w:szCs w:val="24"/>
        </w:rPr>
        <w:t>will be received</w:t>
      </w:r>
      <w:r w:rsidRPr="00816DDD">
        <w:rPr>
          <w:rFonts w:hint="cs"/>
          <w:szCs w:val="24"/>
        </w:rPr>
        <w:t xml:space="preserve"> in one year.  The loan proceeds will be converted into CAD to pay off a bridge loan from a Canadian bank that is being used to finance the factory during construction.  The CFO is concerned about fluctuating exchange rates and wants to protect the company, so she locks in </w:t>
      </w:r>
      <w:r w:rsidR="003C633F" w:rsidRPr="00816DDD">
        <w:rPr>
          <w:szCs w:val="24"/>
        </w:rPr>
        <w:t xml:space="preserve">the forward </w:t>
      </w:r>
      <w:r w:rsidRPr="00816DDD">
        <w:rPr>
          <w:rFonts w:hint="cs"/>
          <w:szCs w:val="24"/>
        </w:rPr>
        <w:t>rate in one year instead of accepting the spot rate at that time.  According to Exhibit 8, a forward rate of 1.2483 CAD/USD could be negotiated so the USD 10 million mortgage would be converted into CAD 12.4830 million (i.e.</w:t>
      </w:r>
      <w:r w:rsidR="00413AF3" w:rsidRPr="00816DDD">
        <w:rPr>
          <w:szCs w:val="24"/>
        </w:rPr>
        <w:t>,</w:t>
      </w:r>
      <w:r w:rsidRPr="00816DDD">
        <w:rPr>
          <w:rFonts w:hint="cs"/>
          <w:szCs w:val="24"/>
        </w:rPr>
        <w:t xml:space="preserve"> 10 million x 1.2483)</w:t>
      </w:r>
      <w:r w:rsidR="00AA0B27">
        <w:rPr>
          <w:szCs w:val="24"/>
        </w:rPr>
        <w:t>,</w:t>
      </w:r>
      <w:r w:rsidRPr="00816DDD">
        <w:rPr>
          <w:rFonts w:hint="cs"/>
          <w:szCs w:val="24"/>
        </w:rPr>
        <w:t xml:space="preserve"> which approximates the value of the bridge loan.  If the spot rate in one year was CAD/USD 1.2479, the opportunity cost of the hedge is positive CAD 4,000 (i.e. (1.2483 – 1.2479) (10 million)).  This means the company received more by locking in the forward rate, but it could have received less if the spot rate in one year was above CAD/USD 1.2483.  By locking in the forward rate, the company is hedging the transaction by transferring the risk of loss to another party called the speculator. </w:t>
      </w:r>
    </w:p>
    <w:p w14:paraId="0542E971" w14:textId="77777777" w:rsidR="003C633F" w:rsidRPr="00816DDD" w:rsidRDefault="003C633F" w:rsidP="008778D3">
      <w:pPr>
        <w:widowControl w:val="0"/>
        <w:tabs>
          <w:tab w:val="left" w:pos="810"/>
        </w:tabs>
        <w:spacing w:after="0" w:line="240" w:lineRule="auto"/>
        <w:rPr>
          <w:szCs w:val="24"/>
        </w:rPr>
      </w:pPr>
    </w:p>
    <w:p w14:paraId="02EC402C" w14:textId="6D6B78B5" w:rsidR="00B859CC" w:rsidRPr="00816DDD" w:rsidRDefault="00B859CC" w:rsidP="008778D3">
      <w:pPr>
        <w:widowControl w:val="0"/>
        <w:tabs>
          <w:tab w:val="left" w:pos="810"/>
        </w:tabs>
        <w:spacing w:after="0" w:line="240" w:lineRule="auto"/>
        <w:jc w:val="center"/>
        <w:rPr>
          <w:b/>
          <w:sz w:val="20"/>
          <w:szCs w:val="20"/>
        </w:rPr>
      </w:pPr>
      <w:r w:rsidRPr="00816DDD">
        <w:rPr>
          <w:rFonts w:hint="cs"/>
          <w:b/>
          <w:sz w:val="20"/>
          <w:szCs w:val="20"/>
        </w:rPr>
        <w:t xml:space="preserve">Exhibit </w:t>
      </w:r>
      <w:r w:rsidR="00024B00" w:rsidRPr="00816DDD">
        <w:rPr>
          <w:b/>
          <w:sz w:val="20"/>
          <w:szCs w:val="20"/>
        </w:rPr>
        <w:t>8</w:t>
      </w:r>
      <w:r w:rsidRPr="00816DDD">
        <w:rPr>
          <w:rFonts w:hint="cs"/>
          <w:b/>
          <w:sz w:val="20"/>
          <w:szCs w:val="20"/>
        </w:rPr>
        <w:t>:  Forward Exchange Rates</w:t>
      </w:r>
    </w:p>
    <w:p w14:paraId="3C667E59" w14:textId="77777777" w:rsidR="00B859CC" w:rsidRPr="00816DDD" w:rsidRDefault="00B859CC" w:rsidP="008778D3">
      <w:pPr>
        <w:widowControl w:val="0"/>
        <w:tabs>
          <w:tab w:val="left" w:pos="810"/>
        </w:tabs>
        <w:spacing w:after="0" w:line="240" w:lineRule="auto"/>
        <w:rPr>
          <w:b/>
          <w:sz w:val="20"/>
          <w:szCs w:val="20"/>
        </w:rPr>
      </w:pPr>
    </w:p>
    <w:tbl>
      <w:tblPr>
        <w:tblStyle w:val="TableGrid"/>
        <w:tblW w:w="9191" w:type="dxa"/>
        <w:tblInd w:w="607" w:type="dxa"/>
        <w:tblLook w:val="04A0" w:firstRow="1" w:lastRow="0" w:firstColumn="1" w:lastColumn="0" w:noHBand="0" w:noVBand="1"/>
      </w:tblPr>
      <w:tblGrid>
        <w:gridCol w:w="18"/>
        <w:gridCol w:w="878"/>
        <w:gridCol w:w="870"/>
        <w:gridCol w:w="919"/>
        <w:gridCol w:w="946"/>
        <w:gridCol w:w="955"/>
        <w:gridCol w:w="874"/>
        <w:gridCol w:w="911"/>
        <w:gridCol w:w="895"/>
        <w:gridCol w:w="1021"/>
        <w:gridCol w:w="855"/>
        <w:gridCol w:w="49"/>
      </w:tblGrid>
      <w:tr w:rsidR="00816DDD" w:rsidRPr="00816DDD" w14:paraId="6F1B3CE8" w14:textId="77777777" w:rsidTr="00956A63">
        <w:trPr>
          <w:gridAfter w:val="1"/>
          <w:wAfter w:w="49" w:type="dxa"/>
        </w:trPr>
        <w:tc>
          <w:tcPr>
            <w:tcW w:w="900" w:type="dxa"/>
            <w:gridSpan w:val="2"/>
          </w:tcPr>
          <w:p w14:paraId="4309F62C" w14:textId="77777777" w:rsidR="00B859CC" w:rsidRPr="00816DDD" w:rsidRDefault="00B859CC" w:rsidP="008778D3">
            <w:pPr>
              <w:widowControl w:val="0"/>
              <w:ind w:left="-24" w:firstLine="21"/>
              <w:contextualSpacing/>
              <w:jc w:val="center"/>
              <w:rPr>
                <w:b/>
                <w:sz w:val="16"/>
                <w:szCs w:val="16"/>
              </w:rPr>
            </w:pPr>
          </w:p>
        </w:tc>
        <w:tc>
          <w:tcPr>
            <w:tcW w:w="870" w:type="dxa"/>
          </w:tcPr>
          <w:p w14:paraId="7035DEA8" w14:textId="77777777" w:rsidR="00B859CC" w:rsidRPr="00816DDD" w:rsidRDefault="00B859CC" w:rsidP="008778D3">
            <w:pPr>
              <w:widowControl w:val="0"/>
              <w:contextualSpacing/>
              <w:jc w:val="center"/>
              <w:rPr>
                <w:b/>
                <w:sz w:val="16"/>
                <w:szCs w:val="16"/>
              </w:rPr>
            </w:pPr>
            <w:r w:rsidRPr="00816DDD">
              <w:rPr>
                <w:rFonts w:hint="cs"/>
                <w:b/>
                <w:sz w:val="16"/>
                <w:szCs w:val="16"/>
              </w:rPr>
              <w:t>Spot</w:t>
            </w:r>
          </w:p>
        </w:tc>
        <w:tc>
          <w:tcPr>
            <w:tcW w:w="919" w:type="dxa"/>
          </w:tcPr>
          <w:p w14:paraId="5DABC9B7" w14:textId="77777777" w:rsidR="00B859CC" w:rsidRPr="00816DDD" w:rsidRDefault="00B859CC" w:rsidP="008778D3">
            <w:pPr>
              <w:widowControl w:val="0"/>
              <w:ind w:left="16"/>
              <w:contextualSpacing/>
              <w:jc w:val="center"/>
              <w:rPr>
                <w:b/>
                <w:sz w:val="16"/>
                <w:szCs w:val="16"/>
              </w:rPr>
            </w:pPr>
            <w:r w:rsidRPr="00816DDD">
              <w:rPr>
                <w:rFonts w:hint="cs"/>
                <w:b/>
                <w:sz w:val="16"/>
                <w:szCs w:val="16"/>
              </w:rPr>
              <w:t>1 Month</w:t>
            </w:r>
          </w:p>
        </w:tc>
        <w:tc>
          <w:tcPr>
            <w:tcW w:w="947" w:type="dxa"/>
          </w:tcPr>
          <w:p w14:paraId="226666E5" w14:textId="77777777" w:rsidR="00B859CC" w:rsidRPr="00816DDD" w:rsidRDefault="00B859CC" w:rsidP="008778D3">
            <w:pPr>
              <w:widowControl w:val="0"/>
              <w:contextualSpacing/>
              <w:jc w:val="center"/>
              <w:rPr>
                <w:b/>
                <w:sz w:val="16"/>
                <w:szCs w:val="16"/>
              </w:rPr>
            </w:pPr>
            <w:r w:rsidRPr="00816DDD">
              <w:rPr>
                <w:rFonts w:hint="cs"/>
                <w:b/>
                <w:sz w:val="16"/>
                <w:szCs w:val="16"/>
              </w:rPr>
              <w:t>3 Months</w:t>
            </w:r>
          </w:p>
        </w:tc>
        <w:tc>
          <w:tcPr>
            <w:tcW w:w="956" w:type="dxa"/>
          </w:tcPr>
          <w:p w14:paraId="4D862ADE" w14:textId="77777777" w:rsidR="00B859CC" w:rsidRPr="00816DDD" w:rsidRDefault="00B859CC" w:rsidP="008778D3">
            <w:pPr>
              <w:widowControl w:val="0"/>
              <w:ind w:left="16"/>
              <w:contextualSpacing/>
              <w:jc w:val="center"/>
              <w:rPr>
                <w:b/>
                <w:sz w:val="16"/>
                <w:szCs w:val="16"/>
              </w:rPr>
            </w:pPr>
            <w:r w:rsidRPr="00816DDD">
              <w:rPr>
                <w:rFonts w:hint="cs"/>
                <w:b/>
                <w:sz w:val="16"/>
                <w:szCs w:val="16"/>
              </w:rPr>
              <w:t>6 Months</w:t>
            </w:r>
          </w:p>
        </w:tc>
        <w:tc>
          <w:tcPr>
            <w:tcW w:w="874" w:type="dxa"/>
          </w:tcPr>
          <w:p w14:paraId="2F277206" w14:textId="77777777" w:rsidR="00B859CC" w:rsidRPr="00816DDD" w:rsidRDefault="00B859CC" w:rsidP="008778D3">
            <w:pPr>
              <w:widowControl w:val="0"/>
              <w:contextualSpacing/>
              <w:jc w:val="center"/>
              <w:rPr>
                <w:b/>
                <w:sz w:val="16"/>
                <w:szCs w:val="16"/>
              </w:rPr>
            </w:pPr>
            <w:r w:rsidRPr="00816DDD">
              <w:rPr>
                <w:rFonts w:hint="cs"/>
                <w:b/>
                <w:sz w:val="16"/>
                <w:szCs w:val="16"/>
              </w:rPr>
              <w:t>1 Year</w:t>
            </w:r>
          </w:p>
        </w:tc>
        <w:tc>
          <w:tcPr>
            <w:tcW w:w="911" w:type="dxa"/>
          </w:tcPr>
          <w:p w14:paraId="174E0ED3" w14:textId="77777777" w:rsidR="00B859CC" w:rsidRPr="00816DDD" w:rsidRDefault="00B859CC" w:rsidP="008778D3">
            <w:pPr>
              <w:widowControl w:val="0"/>
              <w:contextualSpacing/>
              <w:jc w:val="center"/>
              <w:rPr>
                <w:b/>
                <w:sz w:val="16"/>
                <w:szCs w:val="16"/>
              </w:rPr>
            </w:pPr>
            <w:r w:rsidRPr="00816DDD">
              <w:rPr>
                <w:rFonts w:hint="cs"/>
                <w:b/>
                <w:sz w:val="16"/>
                <w:szCs w:val="16"/>
              </w:rPr>
              <w:t>2 Years</w:t>
            </w:r>
          </w:p>
        </w:tc>
        <w:tc>
          <w:tcPr>
            <w:tcW w:w="896" w:type="dxa"/>
          </w:tcPr>
          <w:p w14:paraId="289B626F" w14:textId="77777777" w:rsidR="00B859CC" w:rsidRPr="00816DDD" w:rsidRDefault="00B859CC" w:rsidP="008778D3">
            <w:pPr>
              <w:widowControl w:val="0"/>
              <w:ind w:left="-25"/>
              <w:contextualSpacing/>
              <w:jc w:val="center"/>
              <w:rPr>
                <w:b/>
                <w:sz w:val="16"/>
                <w:szCs w:val="16"/>
              </w:rPr>
            </w:pPr>
            <w:r w:rsidRPr="00816DDD">
              <w:rPr>
                <w:rFonts w:hint="cs"/>
                <w:b/>
                <w:sz w:val="16"/>
                <w:szCs w:val="16"/>
              </w:rPr>
              <w:t>3 Years</w:t>
            </w:r>
          </w:p>
        </w:tc>
        <w:tc>
          <w:tcPr>
            <w:tcW w:w="1021" w:type="dxa"/>
          </w:tcPr>
          <w:p w14:paraId="6C1C157D" w14:textId="77777777" w:rsidR="00B859CC" w:rsidRPr="00816DDD" w:rsidRDefault="00B859CC" w:rsidP="008778D3">
            <w:pPr>
              <w:widowControl w:val="0"/>
              <w:ind w:right="166"/>
              <w:contextualSpacing/>
              <w:jc w:val="center"/>
              <w:rPr>
                <w:b/>
                <w:sz w:val="16"/>
                <w:szCs w:val="16"/>
              </w:rPr>
            </w:pPr>
            <w:r w:rsidRPr="00816DDD">
              <w:rPr>
                <w:rFonts w:hint="cs"/>
                <w:b/>
                <w:sz w:val="16"/>
                <w:szCs w:val="16"/>
              </w:rPr>
              <w:t>4 Years</w:t>
            </w:r>
          </w:p>
        </w:tc>
        <w:tc>
          <w:tcPr>
            <w:tcW w:w="848" w:type="dxa"/>
          </w:tcPr>
          <w:p w14:paraId="0C713C19" w14:textId="77777777" w:rsidR="00B859CC" w:rsidRPr="00816DDD" w:rsidRDefault="00B859CC" w:rsidP="008778D3">
            <w:pPr>
              <w:widowControl w:val="0"/>
              <w:ind w:hanging="15"/>
              <w:contextualSpacing/>
              <w:jc w:val="center"/>
              <w:rPr>
                <w:b/>
                <w:sz w:val="16"/>
                <w:szCs w:val="16"/>
              </w:rPr>
            </w:pPr>
            <w:r w:rsidRPr="00816DDD">
              <w:rPr>
                <w:rFonts w:hint="cs"/>
                <w:b/>
                <w:sz w:val="16"/>
                <w:szCs w:val="16"/>
              </w:rPr>
              <w:t>5 Years</w:t>
            </w:r>
          </w:p>
        </w:tc>
      </w:tr>
      <w:tr w:rsidR="00816DDD" w:rsidRPr="00816DDD" w14:paraId="62566D6E" w14:textId="77777777" w:rsidTr="00956A63">
        <w:trPr>
          <w:gridAfter w:val="1"/>
          <w:wAfter w:w="49" w:type="dxa"/>
        </w:trPr>
        <w:tc>
          <w:tcPr>
            <w:tcW w:w="900" w:type="dxa"/>
            <w:gridSpan w:val="2"/>
          </w:tcPr>
          <w:p w14:paraId="02FC8878" w14:textId="77777777" w:rsidR="00B859CC" w:rsidRPr="00816DDD" w:rsidRDefault="00B859CC" w:rsidP="008778D3">
            <w:pPr>
              <w:widowControl w:val="0"/>
              <w:ind w:left="-24" w:firstLine="21"/>
              <w:contextualSpacing/>
              <w:rPr>
                <w:b/>
                <w:sz w:val="16"/>
                <w:szCs w:val="16"/>
              </w:rPr>
            </w:pPr>
            <w:r w:rsidRPr="00816DDD">
              <w:rPr>
                <w:rFonts w:hint="cs"/>
                <w:b/>
                <w:sz w:val="16"/>
                <w:szCs w:val="16"/>
              </w:rPr>
              <w:t>Per USD</w:t>
            </w:r>
          </w:p>
        </w:tc>
        <w:tc>
          <w:tcPr>
            <w:tcW w:w="870" w:type="dxa"/>
          </w:tcPr>
          <w:p w14:paraId="2D0C248F" w14:textId="77777777" w:rsidR="00B859CC" w:rsidRPr="00816DDD" w:rsidRDefault="00B859CC" w:rsidP="008778D3">
            <w:pPr>
              <w:widowControl w:val="0"/>
              <w:contextualSpacing/>
              <w:rPr>
                <w:sz w:val="16"/>
                <w:szCs w:val="16"/>
              </w:rPr>
            </w:pPr>
          </w:p>
        </w:tc>
        <w:tc>
          <w:tcPr>
            <w:tcW w:w="919" w:type="dxa"/>
          </w:tcPr>
          <w:p w14:paraId="45E347EF" w14:textId="77777777" w:rsidR="00B859CC" w:rsidRPr="00816DDD" w:rsidRDefault="00B859CC" w:rsidP="008778D3">
            <w:pPr>
              <w:widowControl w:val="0"/>
              <w:ind w:left="16"/>
              <w:contextualSpacing/>
              <w:rPr>
                <w:sz w:val="16"/>
                <w:szCs w:val="16"/>
              </w:rPr>
            </w:pPr>
          </w:p>
        </w:tc>
        <w:tc>
          <w:tcPr>
            <w:tcW w:w="947" w:type="dxa"/>
          </w:tcPr>
          <w:p w14:paraId="3B4B7F54" w14:textId="77777777" w:rsidR="00B859CC" w:rsidRPr="00816DDD" w:rsidRDefault="00B859CC" w:rsidP="008778D3">
            <w:pPr>
              <w:widowControl w:val="0"/>
              <w:contextualSpacing/>
              <w:rPr>
                <w:sz w:val="16"/>
                <w:szCs w:val="16"/>
              </w:rPr>
            </w:pPr>
          </w:p>
        </w:tc>
        <w:tc>
          <w:tcPr>
            <w:tcW w:w="956" w:type="dxa"/>
          </w:tcPr>
          <w:p w14:paraId="5A609BBF" w14:textId="77777777" w:rsidR="00B859CC" w:rsidRPr="00816DDD" w:rsidRDefault="00B859CC" w:rsidP="008778D3">
            <w:pPr>
              <w:widowControl w:val="0"/>
              <w:ind w:left="16"/>
              <w:contextualSpacing/>
              <w:rPr>
                <w:sz w:val="16"/>
                <w:szCs w:val="16"/>
              </w:rPr>
            </w:pPr>
          </w:p>
        </w:tc>
        <w:tc>
          <w:tcPr>
            <w:tcW w:w="874" w:type="dxa"/>
          </w:tcPr>
          <w:p w14:paraId="4743CD3F" w14:textId="77777777" w:rsidR="00B859CC" w:rsidRPr="00816DDD" w:rsidRDefault="00B859CC" w:rsidP="008778D3">
            <w:pPr>
              <w:widowControl w:val="0"/>
              <w:contextualSpacing/>
              <w:rPr>
                <w:sz w:val="16"/>
                <w:szCs w:val="16"/>
              </w:rPr>
            </w:pPr>
          </w:p>
        </w:tc>
        <w:tc>
          <w:tcPr>
            <w:tcW w:w="911" w:type="dxa"/>
          </w:tcPr>
          <w:p w14:paraId="0F25C215" w14:textId="77777777" w:rsidR="00B859CC" w:rsidRPr="00816DDD" w:rsidRDefault="00B859CC" w:rsidP="008778D3">
            <w:pPr>
              <w:widowControl w:val="0"/>
              <w:contextualSpacing/>
              <w:rPr>
                <w:sz w:val="16"/>
                <w:szCs w:val="16"/>
              </w:rPr>
            </w:pPr>
          </w:p>
        </w:tc>
        <w:tc>
          <w:tcPr>
            <w:tcW w:w="896" w:type="dxa"/>
          </w:tcPr>
          <w:p w14:paraId="36934B17" w14:textId="77777777" w:rsidR="00B859CC" w:rsidRPr="00816DDD" w:rsidRDefault="00B859CC" w:rsidP="008778D3">
            <w:pPr>
              <w:widowControl w:val="0"/>
              <w:ind w:left="-25"/>
              <w:contextualSpacing/>
              <w:rPr>
                <w:sz w:val="16"/>
                <w:szCs w:val="16"/>
              </w:rPr>
            </w:pPr>
          </w:p>
        </w:tc>
        <w:tc>
          <w:tcPr>
            <w:tcW w:w="1021" w:type="dxa"/>
          </w:tcPr>
          <w:p w14:paraId="4BB47251" w14:textId="77777777" w:rsidR="00B859CC" w:rsidRPr="00816DDD" w:rsidRDefault="00B859CC" w:rsidP="008778D3">
            <w:pPr>
              <w:widowControl w:val="0"/>
              <w:ind w:right="166"/>
              <w:contextualSpacing/>
              <w:rPr>
                <w:sz w:val="16"/>
                <w:szCs w:val="16"/>
              </w:rPr>
            </w:pPr>
          </w:p>
        </w:tc>
        <w:tc>
          <w:tcPr>
            <w:tcW w:w="848" w:type="dxa"/>
          </w:tcPr>
          <w:p w14:paraId="649279C5" w14:textId="77777777" w:rsidR="00B859CC" w:rsidRPr="00816DDD" w:rsidRDefault="00B859CC" w:rsidP="00956A63">
            <w:pPr>
              <w:widowControl w:val="0"/>
              <w:contextualSpacing/>
              <w:rPr>
                <w:sz w:val="16"/>
                <w:szCs w:val="16"/>
              </w:rPr>
            </w:pPr>
          </w:p>
        </w:tc>
      </w:tr>
      <w:tr w:rsidR="00816DDD" w:rsidRPr="00816DDD" w14:paraId="7D6A9680" w14:textId="77777777" w:rsidTr="00956A63">
        <w:trPr>
          <w:gridAfter w:val="1"/>
          <w:wAfter w:w="49" w:type="dxa"/>
        </w:trPr>
        <w:tc>
          <w:tcPr>
            <w:tcW w:w="900" w:type="dxa"/>
            <w:gridSpan w:val="2"/>
          </w:tcPr>
          <w:p w14:paraId="28B10043"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CAD</w:t>
            </w:r>
          </w:p>
        </w:tc>
        <w:tc>
          <w:tcPr>
            <w:tcW w:w="870" w:type="dxa"/>
          </w:tcPr>
          <w:p w14:paraId="2963C203" w14:textId="77777777" w:rsidR="00B859CC" w:rsidRPr="00816DDD" w:rsidRDefault="00B859CC" w:rsidP="008778D3">
            <w:pPr>
              <w:widowControl w:val="0"/>
              <w:contextualSpacing/>
              <w:jc w:val="right"/>
              <w:rPr>
                <w:sz w:val="16"/>
                <w:szCs w:val="16"/>
              </w:rPr>
            </w:pPr>
            <w:bookmarkStart w:id="9" w:name="_Hlk140411079"/>
            <w:r w:rsidRPr="00816DDD">
              <w:rPr>
                <w:rFonts w:hint="cs"/>
                <w:sz w:val="16"/>
                <w:szCs w:val="16"/>
              </w:rPr>
              <w:t>1.2486</w:t>
            </w:r>
            <w:bookmarkEnd w:id="9"/>
          </w:p>
        </w:tc>
        <w:tc>
          <w:tcPr>
            <w:tcW w:w="919" w:type="dxa"/>
          </w:tcPr>
          <w:p w14:paraId="7316C55A" w14:textId="77777777" w:rsidR="00B859CC" w:rsidRPr="00816DDD" w:rsidRDefault="00B859CC" w:rsidP="008778D3">
            <w:pPr>
              <w:widowControl w:val="0"/>
              <w:ind w:left="16"/>
              <w:contextualSpacing/>
              <w:jc w:val="right"/>
              <w:rPr>
                <w:sz w:val="16"/>
                <w:szCs w:val="16"/>
              </w:rPr>
            </w:pPr>
            <w:r w:rsidRPr="00816DDD">
              <w:rPr>
                <w:rFonts w:hint="cs"/>
                <w:sz w:val="16"/>
                <w:szCs w:val="16"/>
              </w:rPr>
              <w:t>1.2486</w:t>
            </w:r>
          </w:p>
        </w:tc>
        <w:tc>
          <w:tcPr>
            <w:tcW w:w="947" w:type="dxa"/>
          </w:tcPr>
          <w:p w14:paraId="4B9E0CD9" w14:textId="77777777" w:rsidR="00B859CC" w:rsidRPr="00816DDD" w:rsidRDefault="00B859CC" w:rsidP="008778D3">
            <w:pPr>
              <w:widowControl w:val="0"/>
              <w:contextualSpacing/>
              <w:jc w:val="right"/>
              <w:rPr>
                <w:sz w:val="16"/>
                <w:szCs w:val="16"/>
              </w:rPr>
            </w:pPr>
            <w:r w:rsidRPr="00816DDD">
              <w:rPr>
                <w:rFonts w:hint="cs"/>
                <w:sz w:val="16"/>
                <w:szCs w:val="16"/>
              </w:rPr>
              <w:t>1.2484</w:t>
            </w:r>
          </w:p>
        </w:tc>
        <w:tc>
          <w:tcPr>
            <w:tcW w:w="956" w:type="dxa"/>
          </w:tcPr>
          <w:p w14:paraId="095FC41E" w14:textId="77777777" w:rsidR="00B859CC" w:rsidRPr="00816DDD" w:rsidRDefault="00B859CC" w:rsidP="008778D3">
            <w:pPr>
              <w:widowControl w:val="0"/>
              <w:ind w:left="16"/>
              <w:contextualSpacing/>
              <w:jc w:val="right"/>
              <w:rPr>
                <w:sz w:val="16"/>
                <w:szCs w:val="16"/>
              </w:rPr>
            </w:pPr>
            <w:r w:rsidRPr="00816DDD">
              <w:rPr>
                <w:rFonts w:hint="cs"/>
                <w:sz w:val="16"/>
                <w:szCs w:val="16"/>
              </w:rPr>
              <w:t>1.2484</w:t>
            </w:r>
          </w:p>
        </w:tc>
        <w:tc>
          <w:tcPr>
            <w:tcW w:w="874" w:type="dxa"/>
          </w:tcPr>
          <w:p w14:paraId="39F359DD" w14:textId="77777777" w:rsidR="00B859CC" w:rsidRPr="00816DDD" w:rsidRDefault="00B859CC" w:rsidP="008778D3">
            <w:pPr>
              <w:widowControl w:val="0"/>
              <w:contextualSpacing/>
              <w:jc w:val="right"/>
              <w:rPr>
                <w:sz w:val="16"/>
                <w:szCs w:val="16"/>
              </w:rPr>
            </w:pPr>
            <w:r w:rsidRPr="00816DDD">
              <w:rPr>
                <w:rFonts w:hint="cs"/>
                <w:sz w:val="16"/>
                <w:szCs w:val="16"/>
              </w:rPr>
              <w:t>1.2483</w:t>
            </w:r>
          </w:p>
        </w:tc>
        <w:tc>
          <w:tcPr>
            <w:tcW w:w="911" w:type="dxa"/>
          </w:tcPr>
          <w:p w14:paraId="47CB3825" w14:textId="77777777" w:rsidR="00B859CC" w:rsidRPr="00816DDD" w:rsidRDefault="00B859CC" w:rsidP="008778D3">
            <w:pPr>
              <w:widowControl w:val="0"/>
              <w:contextualSpacing/>
              <w:jc w:val="right"/>
              <w:rPr>
                <w:sz w:val="16"/>
                <w:szCs w:val="16"/>
              </w:rPr>
            </w:pPr>
            <w:r w:rsidRPr="00816DDD">
              <w:rPr>
                <w:rFonts w:hint="cs"/>
                <w:sz w:val="16"/>
                <w:szCs w:val="16"/>
              </w:rPr>
              <w:t>1.2517</w:t>
            </w:r>
          </w:p>
        </w:tc>
        <w:tc>
          <w:tcPr>
            <w:tcW w:w="896" w:type="dxa"/>
          </w:tcPr>
          <w:p w14:paraId="5A35BA82" w14:textId="77777777" w:rsidR="00B859CC" w:rsidRPr="00816DDD" w:rsidRDefault="00B859CC" w:rsidP="008778D3">
            <w:pPr>
              <w:widowControl w:val="0"/>
              <w:ind w:left="-25"/>
              <w:contextualSpacing/>
              <w:jc w:val="right"/>
              <w:rPr>
                <w:sz w:val="16"/>
                <w:szCs w:val="16"/>
              </w:rPr>
            </w:pPr>
            <w:r w:rsidRPr="00816DDD">
              <w:rPr>
                <w:rFonts w:hint="cs"/>
                <w:sz w:val="16"/>
                <w:szCs w:val="16"/>
              </w:rPr>
              <w:t>1.2587</w:t>
            </w:r>
          </w:p>
        </w:tc>
        <w:tc>
          <w:tcPr>
            <w:tcW w:w="1021" w:type="dxa"/>
          </w:tcPr>
          <w:p w14:paraId="5A40E99D" w14:textId="77777777" w:rsidR="00B859CC" w:rsidRPr="00816DDD" w:rsidRDefault="00B859CC" w:rsidP="008778D3">
            <w:pPr>
              <w:widowControl w:val="0"/>
              <w:ind w:right="166"/>
              <w:contextualSpacing/>
              <w:jc w:val="right"/>
              <w:rPr>
                <w:sz w:val="16"/>
                <w:szCs w:val="16"/>
              </w:rPr>
            </w:pPr>
            <w:r w:rsidRPr="00816DDD">
              <w:rPr>
                <w:rFonts w:hint="cs"/>
                <w:sz w:val="16"/>
                <w:szCs w:val="16"/>
              </w:rPr>
              <w:t>1.2652</w:t>
            </w:r>
          </w:p>
        </w:tc>
        <w:tc>
          <w:tcPr>
            <w:tcW w:w="848" w:type="dxa"/>
          </w:tcPr>
          <w:p w14:paraId="074F0474" w14:textId="77777777" w:rsidR="00B859CC" w:rsidRPr="00816DDD" w:rsidRDefault="00B859CC" w:rsidP="00956A63">
            <w:pPr>
              <w:widowControl w:val="0"/>
              <w:contextualSpacing/>
              <w:jc w:val="right"/>
              <w:rPr>
                <w:sz w:val="16"/>
                <w:szCs w:val="16"/>
              </w:rPr>
            </w:pPr>
            <w:r w:rsidRPr="00816DDD">
              <w:rPr>
                <w:rFonts w:hint="cs"/>
                <w:sz w:val="16"/>
                <w:szCs w:val="16"/>
              </w:rPr>
              <w:t>1.2695</w:t>
            </w:r>
          </w:p>
        </w:tc>
      </w:tr>
      <w:tr w:rsidR="00816DDD" w:rsidRPr="00816DDD" w14:paraId="484BB281" w14:textId="77777777" w:rsidTr="00956A63">
        <w:trPr>
          <w:gridAfter w:val="1"/>
          <w:wAfter w:w="49" w:type="dxa"/>
        </w:trPr>
        <w:tc>
          <w:tcPr>
            <w:tcW w:w="900" w:type="dxa"/>
            <w:gridSpan w:val="2"/>
          </w:tcPr>
          <w:p w14:paraId="7D1CADD3"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EUR</w:t>
            </w:r>
          </w:p>
        </w:tc>
        <w:tc>
          <w:tcPr>
            <w:tcW w:w="870" w:type="dxa"/>
          </w:tcPr>
          <w:p w14:paraId="50456546" w14:textId="77777777" w:rsidR="00B859CC" w:rsidRPr="00816DDD" w:rsidRDefault="00B859CC" w:rsidP="008778D3">
            <w:pPr>
              <w:widowControl w:val="0"/>
              <w:contextualSpacing/>
              <w:jc w:val="right"/>
              <w:rPr>
                <w:sz w:val="16"/>
                <w:szCs w:val="16"/>
              </w:rPr>
            </w:pPr>
            <w:r w:rsidRPr="00816DDD">
              <w:rPr>
                <w:rFonts w:hint="cs"/>
                <w:sz w:val="16"/>
                <w:szCs w:val="16"/>
              </w:rPr>
              <w:t>1.2074</w:t>
            </w:r>
          </w:p>
        </w:tc>
        <w:tc>
          <w:tcPr>
            <w:tcW w:w="919" w:type="dxa"/>
          </w:tcPr>
          <w:p w14:paraId="114AFE62" w14:textId="77777777" w:rsidR="00B859CC" w:rsidRPr="00816DDD" w:rsidRDefault="00B859CC" w:rsidP="008778D3">
            <w:pPr>
              <w:widowControl w:val="0"/>
              <w:ind w:left="16"/>
              <w:contextualSpacing/>
              <w:jc w:val="right"/>
              <w:rPr>
                <w:sz w:val="16"/>
                <w:szCs w:val="16"/>
              </w:rPr>
            </w:pPr>
            <w:r w:rsidRPr="00816DDD">
              <w:rPr>
                <w:rFonts w:hint="cs"/>
                <w:sz w:val="16"/>
                <w:szCs w:val="16"/>
              </w:rPr>
              <w:t>1.2082</w:t>
            </w:r>
          </w:p>
        </w:tc>
        <w:tc>
          <w:tcPr>
            <w:tcW w:w="947" w:type="dxa"/>
          </w:tcPr>
          <w:p w14:paraId="050DA1D0" w14:textId="77777777" w:rsidR="00B859CC" w:rsidRPr="00816DDD" w:rsidRDefault="00B859CC" w:rsidP="008778D3">
            <w:pPr>
              <w:widowControl w:val="0"/>
              <w:contextualSpacing/>
              <w:jc w:val="right"/>
              <w:rPr>
                <w:sz w:val="16"/>
                <w:szCs w:val="16"/>
              </w:rPr>
            </w:pPr>
            <w:r w:rsidRPr="00816DDD">
              <w:rPr>
                <w:rFonts w:hint="cs"/>
                <w:sz w:val="16"/>
                <w:szCs w:val="16"/>
              </w:rPr>
              <w:t>1.2098</w:t>
            </w:r>
          </w:p>
        </w:tc>
        <w:tc>
          <w:tcPr>
            <w:tcW w:w="956" w:type="dxa"/>
          </w:tcPr>
          <w:p w14:paraId="7705627B" w14:textId="77777777" w:rsidR="00B859CC" w:rsidRPr="00816DDD" w:rsidRDefault="00B859CC" w:rsidP="008778D3">
            <w:pPr>
              <w:widowControl w:val="0"/>
              <w:ind w:left="16"/>
              <w:contextualSpacing/>
              <w:jc w:val="right"/>
              <w:rPr>
                <w:sz w:val="16"/>
                <w:szCs w:val="16"/>
              </w:rPr>
            </w:pPr>
            <w:r w:rsidRPr="00816DDD">
              <w:rPr>
                <w:rFonts w:hint="cs"/>
                <w:sz w:val="16"/>
                <w:szCs w:val="16"/>
              </w:rPr>
              <w:t>1.2122</w:t>
            </w:r>
          </w:p>
        </w:tc>
        <w:tc>
          <w:tcPr>
            <w:tcW w:w="874" w:type="dxa"/>
          </w:tcPr>
          <w:p w14:paraId="249FF22F" w14:textId="77777777" w:rsidR="00B859CC" w:rsidRPr="00816DDD" w:rsidRDefault="00B859CC" w:rsidP="008778D3">
            <w:pPr>
              <w:widowControl w:val="0"/>
              <w:contextualSpacing/>
              <w:jc w:val="right"/>
              <w:rPr>
                <w:sz w:val="16"/>
                <w:szCs w:val="16"/>
              </w:rPr>
            </w:pPr>
            <w:r w:rsidRPr="00816DDD">
              <w:rPr>
                <w:rFonts w:hint="cs"/>
                <w:sz w:val="16"/>
                <w:szCs w:val="16"/>
              </w:rPr>
              <w:t>1.2175</w:t>
            </w:r>
          </w:p>
        </w:tc>
        <w:tc>
          <w:tcPr>
            <w:tcW w:w="911" w:type="dxa"/>
          </w:tcPr>
          <w:p w14:paraId="271AC553" w14:textId="77777777" w:rsidR="00B859CC" w:rsidRPr="00816DDD" w:rsidRDefault="00B859CC" w:rsidP="008778D3">
            <w:pPr>
              <w:widowControl w:val="0"/>
              <w:contextualSpacing/>
              <w:jc w:val="right"/>
              <w:rPr>
                <w:sz w:val="16"/>
                <w:szCs w:val="16"/>
              </w:rPr>
            </w:pPr>
            <w:r w:rsidRPr="00816DDD">
              <w:rPr>
                <w:rFonts w:hint="cs"/>
                <w:sz w:val="16"/>
                <w:szCs w:val="16"/>
              </w:rPr>
              <w:t>1.2291</w:t>
            </w:r>
          </w:p>
        </w:tc>
        <w:tc>
          <w:tcPr>
            <w:tcW w:w="896" w:type="dxa"/>
          </w:tcPr>
          <w:p w14:paraId="4910C93C" w14:textId="77777777" w:rsidR="00B859CC" w:rsidRPr="00816DDD" w:rsidRDefault="00B859CC" w:rsidP="008778D3">
            <w:pPr>
              <w:widowControl w:val="0"/>
              <w:ind w:left="-25"/>
              <w:contextualSpacing/>
              <w:jc w:val="right"/>
              <w:rPr>
                <w:sz w:val="16"/>
                <w:szCs w:val="16"/>
              </w:rPr>
            </w:pPr>
            <w:r w:rsidRPr="00816DDD">
              <w:rPr>
                <w:rFonts w:hint="cs"/>
                <w:sz w:val="16"/>
                <w:szCs w:val="16"/>
              </w:rPr>
              <w:t>1.2453</w:t>
            </w:r>
          </w:p>
        </w:tc>
        <w:tc>
          <w:tcPr>
            <w:tcW w:w="1021" w:type="dxa"/>
          </w:tcPr>
          <w:p w14:paraId="2404D299" w14:textId="77777777" w:rsidR="00B859CC" w:rsidRPr="00816DDD" w:rsidRDefault="00B859CC" w:rsidP="008778D3">
            <w:pPr>
              <w:widowControl w:val="0"/>
              <w:ind w:right="166"/>
              <w:contextualSpacing/>
              <w:jc w:val="right"/>
              <w:rPr>
                <w:sz w:val="16"/>
                <w:szCs w:val="16"/>
              </w:rPr>
            </w:pPr>
            <w:r w:rsidRPr="00816DDD">
              <w:rPr>
                <w:rFonts w:hint="cs"/>
                <w:sz w:val="16"/>
                <w:szCs w:val="16"/>
              </w:rPr>
              <w:t>1.2663</w:t>
            </w:r>
          </w:p>
        </w:tc>
        <w:tc>
          <w:tcPr>
            <w:tcW w:w="848" w:type="dxa"/>
          </w:tcPr>
          <w:p w14:paraId="680FFC37" w14:textId="77777777" w:rsidR="00B859CC" w:rsidRPr="00816DDD" w:rsidRDefault="00B859CC" w:rsidP="00956A63">
            <w:pPr>
              <w:widowControl w:val="0"/>
              <w:contextualSpacing/>
              <w:jc w:val="right"/>
              <w:rPr>
                <w:sz w:val="16"/>
                <w:szCs w:val="16"/>
              </w:rPr>
            </w:pPr>
            <w:r w:rsidRPr="00816DDD">
              <w:rPr>
                <w:rFonts w:hint="cs"/>
                <w:sz w:val="16"/>
                <w:szCs w:val="16"/>
              </w:rPr>
              <w:t>1.2907</w:t>
            </w:r>
          </w:p>
        </w:tc>
      </w:tr>
      <w:tr w:rsidR="00816DDD" w:rsidRPr="00816DDD" w14:paraId="099D1069" w14:textId="77777777" w:rsidTr="00956A63">
        <w:trPr>
          <w:gridAfter w:val="1"/>
          <w:wAfter w:w="49" w:type="dxa"/>
          <w:trHeight w:val="70"/>
        </w:trPr>
        <w:tc>
          <w:tcPr>
            <w:tcW w:w="900" w:type="dxa"/>
            <w:gridSpan w:val="2"/>
          </w:tcPr>
          <w:p w14:paraId="1B0BE79E"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JPY</w:t>
            </w:r>
          </w:p>
        </w:tc>
        <w:tc>
          <w:tcPr>
            <w:tcW w:w="870" w:type="dxa"/>
          </w:tcPr>
          <w:p w14:paraId="32C14954" w14:textId="77777777" w:rsidR="00B859CC" w:rsidRPr="00816DDD" w:rsidRDefault="00B859CC" w:rsidP="008778D3">
            <w:pPr>
              <w:widowControl w:val="0"/>
              <w:contextualSpacing/>
              <w:jc w:val="right"/>
              <w:rPr>
                <w:sz w:val="16"/>
                <w:szCs w:val="16"/>
              </w:rPr>
            </w:pPr>
            <w:r w:rsidRPr="00816DDD">
              <w:rPr>
                <w:rFonts w:hint="cs"/>
                <w:sz w:val="16"/>
                <w:szCs w:val="16"/>
              </w:rPr>
              <w:t>107.5550</w:t>
            </w:r>
          </w:p>
        </w:tc>
        <w:tc>
          <w:tcPr>
            <w:tcW w:w="919" w:type="dxa"/>
          </w:tcPr>
          <w:p w14:paraId="3C26E672" w14:textId="77777777" w:rsidR="00B859CC" w:rsidRPr="00816DDD" w:rsidRDefault="00B859CC" w:rsidP="008778D3">
            <w:pPr>
              <w:widowControl w:val="0"/>
              <w:ind w:left="16"/>
              <w:contextualSpacing/>
              <w:jc w:val="right"/>
              <w:rPr>
                <w:sz w:val="16"/>
                <w:szCs w:val="16"/>
              </w:rPr>
            </w:pPr>
            <w:r w:rsidRPr="00816DDD">
              <w:rPr>
                <w:rFonts w:hint="cs"/>
                <w:sz w:val="16"/>
                <w:szCs w:val="16"/>
              </w:rPr>
              <w:t>107.5225</w:t>
            </w:r>
          </w:p>
        </w:tc>
        <w:tc>
          <w:tcPr>
            <w:tcW w:w="947" w:type="dxa"/>
          </w:tcPr>
          <w:p w14:paraId="3B636F78" w14:textId="77777777" w:rsidR="00B859CC" w:rsidRPr="00816DDD" w:rsidRDefault="00B859CC" w:rsidP="008778D3">
            <w:pPr>
              <w:widowControl w:val="0"/>
              <w:contextualSpacing/>
              <w:jc w:val="right"/>
              <w:rPr>
                <w:sz w:val="16"/>
                <w:szCs w:val="16"/>
              </w:rPr>
            </w:pPr>
            <w:r w:rsidRPr="00816DDD">
              <w:rPr>
                <w:rFonts w:hint="cs"/>
                <w:sz w:val="16"/>
                <w:szCs w:val="16"/>
              </w:rPr>
              <w:t>107.4572</w:t>
            </w:r>
          </w:p>
        </w:tc>
        <w:tc>
          <w:tcPr>
            <w:tcW w:w="956" w:type="dxa"/>
          </w:tcPr>
          <w:p w14:paraId="70B81014" w14:textId="77777777" w:rsidR="00B859CC" w:rsidRPr="00816DDD" w:rsidRDefault="00B859CC" w:rsidP="008778D3">
            <w:pPr>
              <w:widowControl w:val="0"/>
              <w:ind w:left="16"/>
              <w:contextualSpacing/>
              <w:jc w:val="right"/>
              <w:rPr>
                <w:sz w:val="16"/>
                <w:szCs w:val="16"/>
              </w:rPr>
            </w:pPr>
            <w:r w:rsidRPr="00816DDD">
              <w:rPr>
                <w:rFonts w:hint="cs"/>
                <w:sz w:val="16"/>
                <w:szCs w:val="16"/>
              </w:rPr>
              <w:t>107.3530</w:t>
            </w:r>
          </w:p>
        </w:tc>
        <w:tc>
          <w:tcPr>
            <w:tcW w:w="874" w:type="dxa"/>
          </w:tcPr>
          <w:p w14:paraId="604DC606" w14:textId="77777777" w:rsidR="00B859CC" w:rsidRPr="00816DDD" w:rsidRDefault="00B859CC" w:rsidP="008778D3">
            <w:pPr>
              <w:widowControl w:val="0"/>
              <w:contextualSpacing/>
              <w:jc w:val="right"/>
              <w:rPr>
                <w:sz w:val="16"/>
                <w:szCs w:val="16"/>
              </w:rPr>
            </w:pPr>
            <w:r w:rsidRPr="00816DDD">
              <w:rPr>
                <w:rFonts w:hint="cs"/>
                <w:sz w:val="16"/>
                <w:szCs w:val="16"/>
              </w:rPr>
              <w:t>107.0451</w:t>
            </w:r>
          </w:p>
        </w:tc>
        <w:tc>
          <w:tcPr>
            <w:tcW w:w="911" w:type="dxa"/>
          </w:tcPr>
          <w:p w14:paraId="22B2D0A3" w14:textId="77777777" w:rsidR="00B859CC" w:rsidRPr="00816DDD" w:rsidRDefault="00B859CC" w:rsidP="008778D3">
            <w:pPr>
              <w:widowControl w:val="0"/>
              <w:contextualSpacing/>
              <w:jc w:val="right"/>
              <w:rPr>
                <w:sz w:val="16"/>
                <w:szCs w:val="16"/>
              </w:rPr>
            </w:pPr>
            <w:r w:rsidRPr="00816DDD">
              <w:rPr>
                <w:rFonts w:hint="cs"/>
                <w:sz w:val="16"/>
                <w:szCs w:val="16"/>
              </w:rPr>
              <w:t>106.2998</w:t>
            </w:r>
          </w:p>
        </w:tc>
        <w:tc>
          <w:tcPr>
            <w:tcW w:w="896" w:type="dxa"/>
          </w:tcPr>
          <w:p w14:paraId="40FACBBD" w14:textId="77777777" w:rsidR="00B859CC" w:rsidRPr="00816DDD" w:rsidRDefault="00B859CC" w:rsidP="008778D3">
            <w:pPr>
              <w:widowControl w:val="0"/>
              <w:ind w:left="-25"/>
              <w:contextualSpacing/>
              <w:jc w:val="right"/>
              <w:rPr>
                <w:sz w:val="16"/>
                <w:szCs w:val="16"/>
              </w:rPr>
            </w:pPr>
            <w:r w:rsidRPr="00816DDD">
              <w:rPr>
                <w:rFonts w:hint="cs"/>
                <w:sz w:val="16"/>
                <w:szCs w:val="16"/>
              </w:rPr>
              <w:t>105.0061</w:t>
            </w:r>
          </w:p>
        </w:tc>
        <w:tc>
          <w:tcPr>
            <w:tcW w:w="1021" w:type="dxa"/>
          </w:tcPr>
          <w:p w14:paraId="7066F949" w14:textId="77777777" w:rsidR="00B859CC" w:rsidRPr="00816DDD" w:rsidRDefault="00B859CC" w:rsidP="008778D3">
            <w:pPr>
              <w:widowControl w:val="0"/>
              <w:ind w:right="166"/>
              <w:contextualSpacing/>
              <w:jc w:val="right"/>
              <w:rPr>
                <w:sz w:val="16"/>
                <w:szCs w:val="16"/>
              </w:rPr>
            </w:pPr>
            <w:r w:rsidRPr="00816DDD">
              <w:rPr>
                <w:rFonts w:hint="cs"/>
                <w:sz w:val="16"/>
                <w:szCs w:val="16"/>
              </w:rPr>
              <w:t>103.1930</w:t>
            </w:r>
          </w:p>
        </w:tc>
        <w:tc>
          <w:tcPr>
            <w:tcW w:w="848" w:type="dxa"/>
          </w:tcPr>
          <w:p w14:paraId="39764760" w14:textId="77777777" w:rsidR="00B859CC" w:rsidRPr="00816DDD" w:rsidRDefault="00B859CC" w:rsidP="00956A63">
            <w:pPr>
              <w:widowControl w:val="0"/>
              <w:contextualSpacing/>
              <w:jc w:val="right"/>
              <w:rPr>
                <w:sz w:val="16"/>
                <w:szCs w:val="16"/>
              </w:rPr>
            </w:pPr>
            <w:r w:rsidRPr="00816DDD">
              <w:rPr>
                <w:rFonts w:hint="cs"/>
                <w:sz w:val="16"/>
                <w:szCs w:val="16"/>
              </w:rPr>
              <w:t>101.0000</w:t>
            </w:r>
          </w:p>
        </w:tc>
      </w:tr>
      <w:tr w:rsidR="00816DDD" w:rsidRPr="00816DDD" w14:paraId="15E7EE9B" w14:textId="77777777" w:rsidTr="00956A63">
        <w:trPr>
          <w:gridAfter w:val="1"/>
          <w:wAfter w:w="49" w:type="dxa"/>
        </w:trPr>
        <w:tc>
          <w:tcPr>
            <w:tcW w:w="900" w:type="dxa"/>
            <w:gridSpan w:val="2"/>
          </w:tcPr>
          <w:p w14:paraId="698B3A26"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GBP</w:t>
            </w:r>
          </w:p>
        </w:tc>
        <w:tc>
          <w:tcPr>
            <w:tcW w:w="870" w:type="dxa"/>
          </w:tcPr>
          <w:p w14:paraId="1D42B1E0" w14:textId="77777777" w:rsidR="00B859CC" w:rsidRPr="00816DDD" w:rsidRDefault="00B859CC" w:rsidP="008778D3">
            <w:pPr>
              <w:widowControl w:val="0"/>
              <w:contextualSpacing/>
              <w:jc w:val="right"/>
              <w:rPr>
                <w:sz w:val="16"/>
                <w:szCs w:val="16"/>
              </w:rPr>
            </w:pPr>
            <w:r w:rsidRPr="00816DDD">
              <w:rPr>
                <w:rFonts w:hint="cs"/>
                <w:sz w:val="16"/>
                <w:szCs w:val="16"/>
              </w:rPr>
              <w:t>1.3878</w:t>
            </w:r>
          </w:p>
        </w:tc>
        <w:tc>
          <w:tcPr>
            <w:tcW w:w="919" w:type="dxa"/>
          </w:tcPr>
          <w:p w14:paraId="22AEB1B3" w14:textId="77777777" w:rsidR="00B859CC" w:rsidRPr="00816DDD" w:rsidRDefault="00B859CC" w:rsidP="008778D3">
            <w:pPr>
              <w:widowControl w:val="0"/>
              <w:ind w:left="16"/>
              <w:contextualSpacing/>
              <w:jc w:val="right"/>
              <w:rPr>
                <w:sz w:val="16"/>
                <w:szCs w:val="16"/>
              </w:rPr>
            </w:pPr>
            <w:r w:rsidRPr="00816DDD">
              <w:rPr>
                <w:rFonts w:hint="cs"/>
                <w:sz w:val="16"/>
                <w:szCs w:val="16"/>
              </w:rPr>
              <w:t>1.3879</w:t>
            </w:r>
          </w:p>
        </w:tc>
        <w:tc>
          <w:tcPr>
            <w:tcW w:w="947" w:type="dxa"/>
          </w:tcPr>
          <w:p w14:paraId="22E3D2E8" w14:textId="77777777" w:rsidR="00B859CC" w:rsidRPr="00816DDD" w:rsidRDefault="00B859CC" w:rsidP="008778D3">
            <w:pPr>
              <w:widowControl w:val="0"/>
              <w:contextualSpacing/>
              <w:jc w:val="right"/>
              <w:rPr>
                <w:sz w:val="16"/>
                <w:szCs w:val="16"/>
              </w:rPr>
            </w:pPr>
            <w:r w:rsidRPr="00816DDD">
              <w:rPr>
                <w:rFonts w:hint="cs"/>
                <w:sz w:val="16"/>
                <w:szCs w:val="16"/>
              </w:rPr>
              <w:t>1.3882</w:t>
            </w:r>
          </w:p>
        </w:tc>
        <w:tc>
          <w:tcPr>
            <w:tcW w:w="956" w:type="dxa"/>
          </w:tcPr>
          <w:p w14:paraId="191ECE93" w14:textId="77777777" w:rsidR="00B859CC" w:rsidRPr="00816DDD" w:rsidRDefault="00B859CC" w:rsidP="008778D3">
            <w:pPr>
              <w:widowControl w:val="0"/>
              <w:ind w:left="16"/>
              <w:contextualSpacing/>
              <w:jc w:val="right"/>
              <w:rPr>
                <w:sz w:val="16"/>
                <w:szCs w:val="16"/>
              </w:rPr>
            </w:pPr>
            <w:r w:rsidRPr="00816DDD">
              <w:rPr>
                <w:rFonts w:hint="cs"/>
                <w:sz w:val="16"/>
                <w:szCs w:val="16"/>
              </w:rPr>
              <w:t>1.3885</w:t>
            </w:r>
          </w:p>
        </w:tc>
        <w:tc>
          <w:tcPr>
            <w:tcW w:w="874" w:type="dxa"/>
          </w:tcPr>
          <w:p w14:paraId="4DE78B08" w14:textId="77777777" w:rsidR="00B859CC" w:rsidRPr="00816DDD" w:rsidRDefault="00B859CC" w:rsidP="008778D3">
            <w:pPr>
              <w:widowControl w:val="0"/>
              <w:contextualSpacing/>
              <w:jc w:val="right"/>
              <w:rPr>
                <w:sz w:val="16"/>
                <w:szCs w:val="16"/>
              </w:rPr>
            </w:pPr>
            <w:r w:rsidRPr="00816DDD">
              <w:rPr>
                <w:rFonts w:hint="cs"/>
                <w:sz w:val="16"/>
                <w:szCs w:val="16"/>
              </w:rPr>
              <w:t>1.3896</w:t>
            </w:r>
          </w:p>
        </w:tc>
        <w:tc>
          <w:tcPr>
            <w:tcW w:w="911" w:type="dxa"/>
          </w:tcPr>
          <w:p w14:paraId="46CDA37F" w14:textId="77777777" w:rsidR="00B859CC" w:rsidRPr="00816DDD" w:rsidRDefault="00B859CC" w:rsidP="008778D3">
            <w:pPr>
              <w:widowControl w:val="0"/>
              <w:contextualSpacing/>
              <w:jc w:val="right"/>
              <w:rPr>
                <w:sz w:val="16"/>
                <w:szCs w:val="16"/>
              </w:rPr>
            </w:pPr>
            <w:r w:rsidRPr="00816DDD">
              <w:rPr>
                <w:rFonts w:hint="cs"/>
                <w:sz w:val="16"/>
                <w:szCs w:val="16"/>
              </w:rPr>
              <w:t>1.3907</w:t>
            </w:r>
          </w:p>
        </w:tc>
        <w:tc>
          <w:tcPr>
            <w:tcW w:w="896" w:type="dxa"/>
          </w:tcPr>
          <w:p w14:paraId="5A062710" w14:textId="77777777" w:rsidR="00B859CC" w:rsidRPr="00816DDD" w:rsidRDefault="00B859CC" w:rsidP="008778D3">
            <w:pPr>
              <w:widowControl w:val="0"/>
              <w:ind w:left="-25"/>
              <w:contextualSpacing/>
              <w:jc w:val="right"/>
              <w:rPr>
                <w:sz w:val="16"/>
                <w:szCs w:val="16"/>
              </w:rPr>
            </w:pPr>
            <w:r w:rsidRPr="00816DDD">
              <w:rPr>
                <w:rFonts w:hint="cs"/>
                <w:sz w:val="16"/>
                <w:szCs w:val="16"/>
              </w:rPr>
              <w:t>1.3940</w:t>
            </w:r>
          </w:p>
        </w:tc>
        <w:tc>
          <w:tcPr>
            <w:tcW w:w="1021" w:type="dxa"/>
          </w:tcPr>
          <w:p w14:paraId="3915682E" w14:textId="77777777" w:rsidR="00B859CC" w:rsidRPr="00816DDD" w:rsidRDefault="00B859CC" w:rsidP="008778D3">
            <w:pPr>
              <w:widowControl w:val="0"/>
              <w:ind w:right="166"/>
              <w:contextualSpacing/>
              <w:jc w:val="right"/>
              <w:rPr>
                <w:sz w:val="16"/>
                <w:szCs w:val="16"/>
              </w:rPr>
            </w:pPr>
            <w:r w:rsidRPr="00816DDD">
              <w:rPr>
                <w:rFonts w:hint="cs"/>
                <w:sz w:val="16"/>
                <w:szCs w:val="16"/>
              </w:rPr>
              <w:t>1.4021</w:t>
            </w:r>
          </w:p>
        </w:tc>
        <w:tc>
          <w:tcPr>
            <w:tcW w:w="848" w:type="dxa"/>
          </w:tcPr>
          <w:p w14:paraId="054A7E9D" w14:textId="77777777" w:rsidR="00B859CC" w:rsidRPr="00816DDD" w:rsidRDefault="00B859CC" w:rsidP="00956A63">
            <w:pPr>
              <w:widowControl w:val="0"/>
              <w:contextualSpacing/>
              <w:jc w:val="right"/>
              <w:rPr>
                <w:sz w:val="16"/>
                <w:szCs w:val="16"/>
              </w:rPr>
            </w:pPr>
            <w:r w:rsidRPr="00816DDD">
              <w:rPr>
                <w:rFonts w:hint="cs"/>
                <w:sz w:val="16"/>
                <w:szCs w:val="16"/>
              </w:rPr>
              <w:t>1.4139</w:t>
            </w:r>
          </w:p>
        </w:tc>
      </w:tr>
      <w:tr w:rsidR="00816DDD" w:rsidRPr="00816DDD" w14:paraId="6323105C" w14:textId="77777777" w:rsidTr="00956A63">
        <w:trPr>
          <w:gridAfter w:val="1"/>
          <w:wAfter w:w="49" w:type="dxa"/>
        </w:trPr>
        <w:tc>
          <w:tcPr>
            <w:tcW w:w="900" w:type="dxa"/>
            <w:gridSpan w:val="2"/>
          </w:tcPr>
          <w:p w14:paraId="7DB9722B" w14:textId="77777777" w:rsidR="00B859CC" w:rsidRPr="00816DDD" w:rsidRDefault="00B859CC" w:rsidP="008778D3">
            <w:pPr>
              <w:widowControl w:val="0"/>
              <w:ind w:left="-24" w:firstLine="21"/>
              <w:contextualSpacing/>
              <w:rPr>
                <w:b/>
                <w:sz w:val="16"/>
                <w:szCs w:val="16"/>
              </w:rPr>
            </w:pPr>
            <w:r w:rsidRPr="00816DDD">
              <w:rPr>
                <w:rFonts w:hint="cs"/>
                <w:b/>
                <w:sz w:val="16"/>
                <w:szCs w:val="16"/>
              </w:rPr>
              <w:t>Per CAD</w:t>
            </w:r>
          </w:p>
        </w:tc>
        <w:tc>
          <w:tcPr>
            <w:tcW w:w="870" w:type="dxa"/>
          </w:tcPr>
          <w:p w14:paraId="4E5DCEDC" w14:textId="77777777" w:rsidR="00B859CC" w:rsidRPr="00816DDD" w:rsidRDefault="00B859CC" w:rsidP="008778D3">
            <w:pPr>
              <w:widowControl w:val="0"/>
              <w:contextualSpacing/>
              <w:jc w:val="right"/>
              <w:rPr>
                <w:sz w:val="16"/>
                <w:szCs w:val="16"/>
              </w:rPr>
            </w:pPr>
          </w:p>
        </w:tc>
        <w:tc>
          <w:tcPr>
            <w:tcW w:w="919" w:type="dxa"/>
          </w:tcPr>
          <w:p w14:paraId="7FD5B5D8" w14:textId="77777777" w:rsidR="00B859CC" w:rsidRPr="00816DDD" w:rsidRDefault="00B859CC" w:rsidP="008778D3">
            <w:pPr>
              <w:widowControl w:val="0"/>
              <w:ind w:left="16"/>
              <w:contextualSpacing/>
              <w:jc w:val="right"/>
              <w:rPr>
                <w:sz w:val="16"/>
                <w:szCs w:val="16"/>
              </w:rPr>
            </w:pPr>
          </w:p>
        </w:tc>
        <w:tc>
          <w:tcPr>
            <w:tcW w:w="947" w:type="dxa"/>
          </w:tcPr>
          <w:p w14:paraId="44AE1D33" w14:textId="77777777" w:rsidR="00B859CC" w:rsidRPr="00816DDD" w:rsidRDefault="00B859CC" w:rsidP="008778D3">
            <w:pPr>
              <w:widowControl w:val="0"/>
              <w:contextualSpacing/>
              <w:jc w:val="right"/>
              <w:rPr>
                <w:sz w:val="16"/>
                <w:szCs w:val="16"/>
              </w:rPr>
            </w:pPr>
          </w:p>
        </w:tc>
        <w:tc>
          <w:tcPr>
            <w:tcW w:w="956" w:type="dxa"/>
          </w:tcPr>
          <w:p w14:paraId="66A2FF92" w14:textId="77777777" w:rsidR="00B859CC" w:rsidRPr="00816DDD" w:rsidRDefault="00B859CC" w:rsidP="008778D3">
            <w:pPr>
              <w:widowControl w:val="0"/>
              <w:ind w:left="16"/>
              <w:contextualSpacing/>
              <w:jc w:val="right"/>
              <w:rPr>
                <w:sz w:val="16"/>
                <w:szCs w:val="16"/>
              </w:rPr>
            </w:pPr>
          </w:p>
        </w:tc>
        <w:tc>
          <w:tcPr>
            <w:tcW w:w="874" w:type="dxa"/>
          </w:tcPr>
          <w:p w14:paraId="16338046" w14:textId="77777777" w:rsidR="00B859CC" w:rsidRPr="00816DDD" w:rsidRDefault="00B859CC" w:rsidP="008778D3">
            <w:pPr>
              <w:widowControl w:val="0"/>
              <w:contextualSpacing/>
              <w:jc w:val="right"/>
              <w:rPr>
                <w:sz w:val="16"/>
                <w:szCs w:val="16"/>
              </w:rPr>
            </w:pPr>
          </w:p>
        </w:tc>
        <w:tc>
          <w:tcPr>
            <w:tcW w:w="911" w:type="dxa"/>
          </w:tcPr>
          <w:p w14:paraId="50CCB70D" w14:textId="77777777" w:rsidR="00B859CC" w:rsidRPr="00816DDD" w:rsidRDefault="00B859CC" w:rsidP="008778D3">
            <w:pPr>
              <w:widowControl w:val="0"/>
              <w:contextualSpacing/>
              <w:jc w:val="right"/>
              <w:rPr>
                <w:sz w:val="16"/>
                <w:szCs w:val="16"/>
              </w:rPr>
            </w:pPr>
          </w:p>
        </w:tc>
        <w:tc>
          <w:tcPr>
            <w:tcW w:w="896" w:type="dxa"/>
          </w:tcPr>
          <w:p w14:paraId="58973B59" w14:textId="77777777" w:rsidR="00B859CC" w:rsidRPr="00816DDD" w:rsidRDefault="00B859CC" w:rsidP="008778D3">
            <w:pPr>
              <w:widowControl w:val="0"/>
              <w:ind w:left="-25"/>
              <w:contextualSpacing/>
              <w:jc w:val="right"/>
              <w:rPr>
                <w:sz w:val="16"/>
                <w:szCs w:val="16"/>
              </w:rPr>
            </w:pPr>
          </w:p>
        </w:tc>
        <w:tc>
          <w:tcPr>
            <w:tcW w:w="1021" w:type="dxa"/>
          </w:tcPr>
          <w:p w14:paraId="3CCCA611" w14:textId="77777777" w:rsidR="00B859CC" w:rsidRPr="00816DDD" w:rsidRDefault="00B859CC" w:rsidP="008778D3">
            <w:pPr>
              <w:widowControl w:val="0"/>
              <w:ind w:right="166"/>
              <w:contextualSpacing/>
              <w:jc w:val="right"/>
              <w:rPr>
                <w:sz w:val="16"/>
                <w:szCs w:val="16"/>
              </w:rPr>
            </w:pPr>
          </w:p>
        </w:tc>
        <w:tc>
          <w:tcPr>
            <w:tcW w:w="848" w:type="dxa"/>
          </w:tcPr>
          <w:p w14:paraId="120BA0C3" w14:textId="77777777" w:rsidR="00B859CC" w:rsidRPr="00816DDD" w:rsidRDefault="00B859CC" w:rsidP="008778D3">
            <w:pPr>
              <w:widowControl w:val="0"/>
              <w:ind w:left="360"/>
              <w:contextualSpacing/>
              <w:jc w:val="right"/>
              <w:rPr>
                <w:sz w:val="16"/>
                <w:szCs w:val="16"/>
              </w:rPr>
            </w:pPr>
          </w:p>
        </w:tc>
      </w:tr>
      <w:tr w:rsidR="00816DDD" w:rsidRPr="00816DDD" w14:paraId="29BF3531" w14:textId="77777777" w:rsidTr="00956A63">
        <w:trPr>
          <w:gridAfter w:val="1"/>
          <w:wAfter w:w="49" w:type="dxa"/>
        </w:trPr>
        <w:tc>
          <w:tcPr>
            <w:tcW w:w="900" w:type="dxa"/>
            <w:gridSpan w:val="2"/>
          </w:tcPr>
          <w:p w14:paraId="53378A1D"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USD</w:t>
            </w:r>
          </w:p>
        </w:tc>
        <w:tc>
          <w:tcPr>
            <w:tcW w:w="870" w:type="dxa"/>
          </w:tcPr>
          <w:p w14:paraId="14BA5B92" w14:textId="77777777" w:rsidR="00B859CC" w:rsidRPr="00816DDD" w:rsidRDefault="00B859CC" w:rsidP="008778D3">
            <w:pPr>
              <w:widowControl w:val="0"/>
              <w:contextualSpacing/>
              <w:jc w:val="right"/>
              <w:rPr>
                <w:sz w:val="16"/>
                <w:szCs w:val="16"/>
              </w:rPr>
            </w:pPr>
            <w:r w:rsidRPr="00816DDD">
              <w:rPr>
                <w:rFonts w:hint="cs"/>
                <w:sz w:val="16"/>
                <w:szCs w:val="16"/>
              </w:rPr>
              <w:t>0.8009</w:t>
            </w:r>
          </w:p>
        </w:tc>
        <w:tc>
          <w:tcPr>
            <w:tcW w:w="919" w:type="dxa"/>
          </w:tcPr>
          <w:p w14:paraId="4C57AC22" w14:textId="77777777" w:rsidR="00B859CC" w:rsidRPr="00816DDD" w:rsidRDefault="00B859CC" w:rsidP="008778D3">
            <w:pPr>
              <w:widowControl w:val="0"/>
              <w:ind w:left="16"/>
              <w:contextualSpacing/>
              <w:jc w:val="right"/>
              <w:rPr>
                <w:sz w:val="16"/>
                <w:szCs w:val="16"/>
              </w:rPr>
            </w:pPr>
            <w:r w:rsidRPr="00816DDD">
              <w:rPr>
                <w:rFonts w:hint="cs"/>
                <w:sz w:val="16"/>
                <w:szCs w:val="16"/>
              </w:rPr>
              <w:t>0.8009</w:t>
            </w:r>
          </w:p>
        </w:tc>
        <w:tc>
          <w:tcPr>
            <w:tcW w:w="947" w:type="dxa"/>
          </w:tcPr>
          <w:p w14:paraId="5A7361C0" w14:textId="77777777" w:rsidR="00B859CC" w:rsidRPr="00816DDD" w:rsidRDefault="00B859CC" w:rsidP="008778D3">
            <w:pPr>
              <w:widowControl w:val="0"/>
              <w:contextualSpacing/>
              <w:jc w:val="right"/>
              <w:rPr>
                <w:sz w:val="16"/>
                <w:szCs w:val="16"/>
              </w:rPr>
            </w:pPr>
            <w:r w:rsidRPr="00816DDD">
              <w:rPr>
                <w:rFonts w:hint="cs"/>
                <w:sz w:val="16"/>
                <w:szCs w:val="16"/>
              </w:rPr>
              <w:t>0.8010</w:t>
            </w:r>
          </w:p>
        </w:tc>
        <w:tc>
          <w:tcPr>
            <w:tcW w:w="956" w:type="dxa"/>
          </w:tcPr>
          <w:p w14:paraId="1779F4F2" w14:textId="77777777" w:rsidR="00B859CC" w:rsidRPr="00816DDD" w:rsidRDefault="00B859CC" w:rsidP="008778D3">
            <w:pPr>
              <w:widowControl w:val="0"/>
              <w:ind w:left="16"/>
              <w:contextualSpacing/>
              <w:jc w:val="right"/>
              <w:rPr>
                <w:sz w:val="16"/>
                <w:szCs w:val="16"/>
              </w:rPr>
            </w:pPr>
            <w:r w:rsidRPr="00816DDD">
              <w:rPr>
                <w:rFonts w:hint="cs"/>
                <w:sz w:val="16"/>
                <w:szCs w:val="16"/>
              </w:rPr>
              <w:t>0.8010</w:t>
            </w:r>
          </w:p>
        </w:tc>
        <w:tc>
          <w:tcPr>
            <w:tcW w:w="874" w:type="dxa"/>
          </w:tcPr>
          <w:p w14:paraId="3CB6947F" w14:textId="77777777" w:rsidR="00B859CC" w:rsidRPr="00816DDD" w:rsidRDefault="00B859CC" w:rsidP="008778D3">
            <w:pPr>
              <w:widowControl w:val="0"/>
              <w:contextualSpacing/>
              <w:jc w:val="right"/>
              <w:rPr>
                <w:sz w:val="16"/>
                <w:szCs w:val="16"/>
              </w:rPr>
            </w:pPr>
            <w:r w:rsidRPr="00816DDD">
              <w:rPr>
                <w:rFonts w:hint="cs"/>
                <w:sz w:val="16"/>
                <w:szCs w:val="16"/>
              </w:rPr>
              <w:t>0.8011</w:t>
            </w:r>
          </w:p>
        </w:tc>
        <w:tc>
          <w:tcPr>
            <w:tcW w:w="911" w:type="dxa"/>
          </w:tcPr>
          <w:p w14:paraId="436BA8E6" w14:textId="77777777" w:rsidR="00B859CC" w:rsidRPr="00816DDD" w:rsidRDefault="00B859CC" w:rsidP="008778D3">
            <w:pPr>
              <w:widowControl w:val="0"/>
              <w:contextualSpacing/>
              <w:jc w:val="right"/>
              <w:rPr>
                <w:sz w:val="16"/>
                <w:szCs w:val="16"/>
              </w:rPr>
            </w:pPr>
            <w:r w:rsidRPr="00816DDD">
              <w:rPr>
                <w:rFonts w:hint="cs"/>
                <w:sz w:val="16"/>
                <w:szCs w:val="16"/>
              </w:rPr>
              <w:t>0.7989</w:t>
            </w:r>
          </w:p>
        </w:tc>
        <w:tc>
          <w:tcPr>
            <w:tcW w:w="896" w:type="dxa"/>
          </w:tcPr>
          <w:p w14:paraId="143B5474" w14:textId="77777777" w:rsidR="00B859CC" w:rsidRPr="00816DDD" w:rsidRDefault="00B859CC" w:rsidP="008778D3">
            <w:pPr>
              <w:widowControl w:val="0"/>
              <w:ind w:left="-25"/>
              <w:contextualSpacing/>
              <w:jc w:val="right"/>
              <w:rPr>
                <w:sz w:val="16"/>
                <w:szCs w:val="16"/>
              </w:rPr>
            </w:pPr>
            <w:r w:rsidRPr="00816DDD">
              <w:rPr>
                <w:rFonts w:hint="cs"/>
                <w:sz w:val="16"/>
                <w:szCs w:val="16"/>
              </w:rPr>
              <w:t>0.7945</w:t>
            </w:r>
          </w:p>
        </w:tc>
        <w:tc>
          <w:tcPr>
            <w:tcW w:w="1021" w:type="dxa"/>
          </w:tcPr>
          <w:p w14:paraId="432391E6" w14:textId="77777777" w:rsidR="00B859CC" w:rsidRPr="00816DDD" w:rsidRDefault="00B859CC" w:rsidP="008778D3">
            <w:pPr>
              <w:widowControl w:val="0"/>
              <w:ind w:right="166"/>
              <w:contextualSpacing/>
              <w:jc w:val="right"/>
              <w:rPr>
                <w:sz w:val="16"/>
                <w:szCs w:val="16"/>
              </w:rPr>
            </w:pPr>
            <w:r w:rsidRPr="00816DDD">
              <w:rPr>
                <w:rFonts w:hint="cs"/>
                <w:sz w:val="16"/>
                <w:szCs w:val="16"/>
              </w:rPr>
              <w:t>0.7904</w:t>
            </w:r>
          </w:p>
        </w:tc>
        <w:tc>
          <w:tcPr>
            <w:tcW w:w="848" w:type="dxa"/>
          </w:tcPr>
          <w:p w14:paraId="46A10164" w14:textId="77777777" w:rsidR="00B859CC" w:rsidRPr="00816DDD" w:rsidRDefault="00B859CC" w:rsidP="00956A63">
            <w:pPr>
              <w:widowControl w:val="0"/>
              <w:contextualSpacing/>
              <w:jc w:val="right"/>
              <w:rPr>
                <w:sz w:val="16"/>
                <w:szCs w:val="16"/>
              </w:rPr>
            </w:pPr>
            <w:r w:rsidRPr="00816DDD">
              <w:rPr>
                <w:rFonts w:hint="cs"/>
                <w:sz w:val="16"/>
                <w:szCs w:val="16"/>
              </w:rPr>
              <w:t>0.7877</w:t>
            </w:r>
          </w:p>
        </w:tc>
      </w:tr>
      <w:tr w:rsidR="00816DDD" w:rsidRPr="00816DDD" w14:paraId="120ABA0F" w14:textId="77777777" w:rsidTr="00956A63">
        <w:trPr>
          <w:gridAfter w:val="1"/>
          <w:wAfter w:w="49" w:type="dxa"/>
        </w:trPr>
        <w:tc>
          <w:tcPr>
            <w:tcW w:w="900" w:type="dxa"/>
            <w:gridSpan w:val="2"/>
          </w:tcPr>
          <w:p w14:paraId="276866CE"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EUR</w:t>
            </w:r>
          </w:p>
        </w:tc>
        <w:tc>
          <w:tcPr>
            <w:tcW w:w="870" w:type="dxa"/>
          </w:tcPr>
          <w:p w14:paraId="6B3CA3AE" w14:textId="77777777" w:rsidR="00B859CC" w:rsidRPr="00816DDD" w:rsidRDefault="00B859CC" w:rsidP="008778D3">
            <w:pPr>
              <w:widowControl w:val="0"/>
              <w:contextualSpacing/>
              <w:jc w:val="right"/>
              <w:rPr>
                <w:sz w:val="16"/>
                <w:szCs w:val="16"/>
              </w:rPr>
            </w:pPr>
            <w:r w:rsidRPr="00816DDD">
              <w:rPr>
                <w:rFonts w:hint="cs"/>
                <w:sz w:val="16"/>
                <w:szCs w:val="16"/>
              </w:rPr>
              <w:t>1.5076</w:t>
            </w:r>
          </w:p>
        </w:tc>
        <w:tc>
          <w:tcPr>
            <w:tcW w:w="919" w:type="dxa"/>
          </w:tcPr>
          <w:p w14:paraId="106048EB" w14:textId="77777777" w:rsidR="00B859CC" w:rsidRPr="00816DDD" w:rsidRDefault="00B859CC" w:rsidP="008778D3">
            <w:pPr>
              <w:widowControl w:val="0"/>
              <w:ind w:left="16"/>
              <w:contextualSpacing/>
              <w:jc w:val="right"/>
              <w:rPr>
                <w:sz w:val="16"/>
                <w:szCs w:val="16"/>
              </w:rPr>
            </w:pPr>
            <w:r w:rsidRPr="00816DDD">
              <w:rPr>
                <w:rFonts w:hint="cs"/>
                <w:sz w:val="16"/>
                <w:szCs w:val="16"/>
              </w:rPr>
              <w:t>1.5085</w:t>
            </w:r>
          </w:p>
        </w:tc>
        <w:tc>
          <w:tcPr>
            <w:tcW w:w="947" w:type="dxa"/>
          </w:tcPr>
          <w:p w14:paraId="58DA18D7" w14:textId="77777777" w:rsidR="00B859CC" w:rsidRPr="00816DDD" w:rsidRDefault="00B859CC" w:rsidP="008778D3">
            <w:pPr>
              <w:widowControl w:val="0"/>
              <w:contextualSpacing/>
              <w:jc w:val="right"/>
              <w:rPr>
                <w:sz w:val="16"/>
                <w:szCs w:val="16"/>
              </w:rPr>
            </w:pPr>
            <w:r w:rsidRPr="00816DDD">
              <w:rPr>
                <w:rFonts w:hint="cs"/>
                <w:sz w:val="16"/>
                <w:szCs w:val="16"/>
              </w:rPr>
              <w:t>1.5103</w:t>
            </w:r>
          </w:p>
        </w:tc>
        <w:tc>
          <w:tcPr>
            <w:tcW w:w="956" w:type="dxa"/>
          </w:tcPr>
          <w:p w14:paraId="41F7D628" w14:textId="77777777" w:rsidR="00B859CC" w:rsidRPr="00816DDD" w:rsidRDefault="00B859CC" w:rsidP="008778D3">
            <w:pPr>
              <w:widowControl w:val="0"/>
              <w:ind w:left="16"/>
              <w:contextualSpacing/>
              <w:jc w:val="right"/>
              <w:rPr>
                <w:sz w:val="16"/>
                <w:szCs w:val="16"/>
              </w:rPr>
            </w:pPr>
            <w:r w:rsidRPr="00816DDD">
              <w:rPr>
                <w:rFonts w:hint="cs"/>
                <w:sz w:val="16"/>
                <w:szCs w:val="16"/>
              </w:rPr>
              <w:t>1.5132</w:t>
            </w:r>
          </w:p>
        </w:tc>
        <w:tc>
          <w:tcPr>
            <w:tcW w:w="874" w:type="dxa"/>
          </w:tcPr>
          <w:p w14:paraId="5BDFA581" w14:textId="77777777" w:rsidR="00B859CC" w:rsidRPr="00816DDD" w:rsidRDefault="00B859CC" w:rsidP="008778D3">
            <w:pPr>
              <w:widowControl w:val="0"/>
              <w:contextualSpacing/>
              <w:jc w:val="right"/>
              <w:rPr>
                <w:sz w:val="16"/>
                <w:szCs w:val="16"/>
              </w:rPr>
            </w:pPr>
            <w:r w:rsidRPr="00816DDD">
              <w:rPr>
                <w:rFonts w:hint="cs"/>
                <w:sz w:val="16"/>
                <w:szCs w:val="16"/>
              </w:rPr>
              <w:t>1.5198</w:t>
            </w:r>
          </w:p>
        </w:tc>
        <w:tc>
          <w:tcPr>
            <w:tcW w:w="911" w:type="dxa"/>
          </w:tcPr>
          <w:p w14:paraId="2DDD3210" w14:textId="77777777" w:rsidR="00B859CC" w:rsidRPr="00816DDD" w:rsidRDefault="00B859CC" w:rsidP="008778D3">
            <w:pPr>
              <w:widowControl w:val="0"/>
              <w:contextualSpacing/>
              <w:jc w:val="right"/>
              <w:rPr>
                <w:sz w:val="16"/>
                <w:szCs w:val="16"/>
              </w:rPr>
            </w:pPr>
            <w:r w:rsidRPr="00816DDD">
              <w:rPr>
                <w:rFonts w:hint="cs"/>
                <w:sz w:val="16"/>
                <w:szCs w:val="16"/>
              </w:rPr>
              <w:t>1.5385</w:t>
            </w:r>
          </w:p>
        </w:tc>
        <w:tc>
          <w:tcPr>
            <w:tcW w:w="896" w:type="dxa"/>
          </w:tcPr>
          <w:p w14:paraId="19D64E61" w14:textId="77777777" w:rsidR="00B859CC" w:rsidRPr="00816DDD" w:rsidRDefault="00B859CC" w:rsidP="008778D3">
            <w:pPr>
              <w:widowControl w:val="0"/>
              <w:ind w:left="-25"/>
              <w:contextualSpacing/>
              <w:jc w:val="right"/>
              <w:rPr>
                <w:sz w:val="16"/>
                <w:szCs w:val="16"/>
              </w:rPr>
            </w:pPr>
            <w:r w:rsidRPr="00816DDD">
              <w:rPr>
                <w:rFonts w:hint="cs"/>
                <w:sz w:val="16"/>
                <w:szCs w:val="16"/>
              </w:rPr>
              <w:t>1.5675</w:t>
            </w:r>
          </w:p>
        </w:tc>
        <w:tc>
          <w:tcPr>
            <w:tcW w:w="1021" w:type="dxa"/>
          </w:tcPr>
          <w:p w14:paraId="4D89AC6A" w14:textId="77777777" w:rsidR="00B859CC" w:rsidRPr="00816DDD" w:rsidRDefault="00B859CC" w:rsidP="008778D3">
            <w:pPr>
              <w:widowControl w:val="0"/>
              <w:ind w:right="166"/>
              <w:contextualSpacing/>
              <w:jc w:val="right"/>
              <w:rPr>
                <w:sz w:val="16"/>
                <w:szCs w:val="16"/>
              </w:rPr>
            </w:pPr>
            <w:r w:rsidRPr="00816DDD">
              <w:rPr>
                <w:rFonts w:hint="cs"/>
                <w:sz w:val="16"/>
                <w:szCs w:val="16"/>
              </w:rPr>
              <w:t>1.6021</w:t>
            </w:r>
          </w:p>
        </w:tc>
        <w:tc>
          <w:tcPr>
            <w:tcW w:w="848" w:type="dxa"/>
          </w:tcPr>
          <w:p w14:paraId="35A83BCB" w14:textId="77777777" w:rsidR="00B859CC" w:rsidRPr="00816DDD" w:rsidRDefault="00B859CC" w:rsidP="00956A63">
            <w:pPr>
              <w:widowControl w:val="0"/>
              <w:contextualSpacing/>
              <w:jc w:val="right"/>
              <w:rPr>
                <w:sz w:val="16"/>
                <w:szCs w:val="16"/>
              </w:rPr>
            </w:pPr>
            <w:r w:rsidRPr="00816DDD">
              <w:rPr>
                <w:rFonts w:hint="cs"/>
                <w:sz w:val="16"/>
                <w:szCs w:val="16"/>
              </w:rPr>
              <w:t>1.6386</w:t>
            </w:r>
          </w:p>
        </w:tc>
      </w:tr>
      <w:tr w:rsidR="00816DDD" w:rsidRPr="00816DDD" w14:paraId="53056219" w14:textId="77777777" w:rsidTr="00956A63">
        <w:trPr>
          <w:gridAfter w:val="1"/>
          <w:wAfter w:w="49" w:type="dxa"/>
        </w:trPr>
        <w:tc>
          <w:tcPr>
            <w:tcW w:w="900" w:type="dxa"/>
            <w:gridSpan w:val="2"/>
          </w:tcPr>
          <w:p w14:paraId="409086B9"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JPY</w:t>
            </w:r>
          </w:p>
        </w:tc>
        <w:tc>
          <w:tcPr>
            <w:tcW w:w="870" w:type="dxa"/>
          </w:tcPr>
          <w:p w14:paraId="038D46AB" w14:textId="77777777" w:rsidR="00B859CC" w:rsidRPr="00816DDD" w:rsidRDefault="00B859CC" w:rsidP="008778D3">
            <w:pPr>
              <w:widowControl w:val="0"/>
              <w:contextualSpacing/>
              <w:jc w:val="right"/>
              <w:rPr>
                <w:sz w:val="16"/>
                <w:szCs w:val="16"/>
              </w:rPr>
            </w:pPr>
            <w:r w:rsidRPr="00816DDD">
              <w:rPr>
                <w:rFonts w:hint="cs"/>
                <w:sz w:val="16"/>
                <w:szCs w:val="16"/>
              </w:rPr>
              <w:t>86.1405</w:t>
            </w:r>
          </w:p>
        </w:tc>
        <w:tc>
          <w:tcPr>
            <w:tcW w:w="919" w:type="dxa"/>
          </w:tcPr>
          <w:p w14:paraId="5DDCD155" w14:textId="77777777" w:rsidR="00B859CC" w:rsidRPr="00816DDD" w:rsidRDefault="00B859CC" w:rsidP="008778D3">
            <w:pPr>
              <w:widowControl w:val="0"/>
              <w:ind w:left="16"/>
              <w:contextualSpacing/>
              <w:jc w:val="right"/>
              <w:rPr>
                <w:sz w:val="16"/>
                <w:szCs w:val="16"/>
              </w:rPr>
            </w:pPr>
            <w:r w:rsidRPr="00816DDD">
              <w:rPr>
                <w:rFonts w:hint="cs"/>
                <w:sz w:val="16"/>
                <w:szCs w:val="16"/>
              </w:rPr>
              <w:t>86.1100</w:t>
            </w:r>
          </w:p>
        </w:tc>
        <w:tc>
          <w:tcPr>
            <w:tcW w:w="947" w:type="dxa"/>
          </w:tcPr>
          <w:p w14:paraId="7B578118" w14:textId="77777777" w:rsidR="00B859CC" w:rsidRPr="00816DDD" w:rsidRDefault="00B859CC" w:rsidP="008778D3">
            <w:pPr>
              <w:widowControl w:val="0"/>
              <w:contextualSpacing/>
              <w:jc w:val="right"/>
              <w:rPr>
                <w:sz w:val="16"/>
                <w:szCs w:val="16"/>
              </w:rPr>
            </w:pPr>
            <w:r w:rsidRPr="00816DDD">
              <w:rPr>
                <w:rFonts w:hint="cs"/>
                <w:sz w:val="16"/>
                <w:szCs w:val="16"/>
              </w:rPr>
              <w:t>86.0700</w:t>
            </w:r>
          </w:p>
        </w:tc>
        <w:tc>
          <w:tcPr>
            <w:tcW w:w="956" w:type="dxa"/>
          </w:tcPr>
          <w:p w14:paraId="6700600A" w14:textId="77777777" w:rsidR="00B859CC" w:rsidRPr="00816DDD" w:rsidRDefault="00B859CC" w:rsidP="008778D3">
            <w:pPr>
              <w:widowControl w:val="0"/>
              <w:ind w:left="16"/>
              <w:contextualSpacing/>
              <w:jc w:val="right"/>
              <w:rPr>
                <w:sz w:val="16"/>
                <w:szCs w:val="16"/>
              </w:rPr>
            </w:pPr>
            <w:r w:rsidRPr="00816DDD">
              <w:rPr>
                <w:rFonts w:hint="cs"/>
                <w:sz w:val="16"/>
                <w:szCs w:val="16"/>
              </w:rPr>
              <w:t>85.9900</w:t>
            </w:r>
          </w:p>
        </w:tc>
        <w:tc>
          <w:tcPr>
            <w:tcW w:w="874" w:type="dxa"/>
          </w:tcPr>
          <w:p w14:paraId="1471563F" w14:textId="77777777" w:rsidR="00B859CC" w:rsidRPr="00816DDD" w:rsidRDefault="00B859CC" w:rsidP="008778D3">
            <w:pPr>
              <w:widowControl w:val="0"/>
              <w:contextualSpacing/>
              <w:jc w:val="right"/>
              <w:rPr>
                <w:sz w:val="16"/>
                <w:szCs w:val="16"/>
              </w:rPr>
            </w:pPr>
            <w:r w:rsidRPr="00816DDD">
              <w:rPr>
                <w:rFonts w:hint="cs"/>
                <w:sz w:val="16"/>
                <w:szCs w:val="16"/>
              </w:rPr>
              <w:t>85.7500</w:t>
            </w:r>
          </w:p>
        </w:tc>
        <w:tc>
          <w:tcPr>
            <w:tcW w:w="911" w:type="dxa"/>
          </w:tcPr>
          <w:p w14:paraId="5B0676F7" w14:textId="77777777" w:rsidR="00B859CC" w:rsidRPr="00816DDD" w:rsidRDefault="00B859CC" w:rsidP="008778D3">
            <w:pPr>
              <w:widowControl w:val="0"/>
              <w:contextualSpacing/>
              <w:jc w:val="right"/>
              <w:rPr>
                <w:sz w:val="16"/>
                <w:szCs w:val="16"/>
              </w:rPr>
            </w:pPr>
            <w:r w:rsidRPr="00816DDD">
              <w:rPr>
                <w:rFonts w:hint="cs"/>
                <w:sz w:val="16"/>
                <w:szCs w:val="16"/>
              </w:rPr>
              <w:t>84.9300</w:t>
            </w:r>
          </w:p>
        </w:tc>
        <w:tc>
          <w:tcPr>
            <w:tcW w:w="896" w:type="dxa"/>
          </w:tcPr>
          <w:p w14:paraId="220ED7E5" w14:textId="77777777" w:rsidR="00B859CC" w:rsidRPr="00816DDD" w:rsidRDefault="00B859CC" w:rsidP="008778D3">
            <w:pPr>
              <w:widowControl w:val="0"/>
              <w:ind w:left="-25"/>
              <w:contextualSpacing/>
              <w:jc w:val="right"/>
              <w:rPr>
                <w:sz w:val="16"/>
                <w:szCs w:val="16"/>
              </w:rPr>
            </w:pPr>
            <w:r w:rsidRPr="00816DDD">
              <w:rPr>
                <w:rFonts w:hint="cs"/>
                <w:sz w:val="16"/>
                <w:szCs w:val="16"/>
              </w:rPr>
              <w:t>83.4200</w:t>
            </w:r>
          </w:p>
        </w:tc>
        <w:tc>
          <w:tcPr>
            <w:tcW w:w="1021" w:type="dxa"/>
          </w:tcPr>
          <w:p w14:paraId="2E7D30D4" w14:textId="77777777" w:rsidR="00B859CC" w:rsidRPr="00816DDD" w:rsidRDefault="00B859CC" w:rsidP="008778D3">
            <w:pPr>
              <w:widowControl w:val="0"/>
              <w:ind w:right="166"/>
              <w:contextualSpacing/>
              <w:jc w:val="right"/>
              <w:rPr>
                <w:sz w:val="16"/>
                <w:szCs w:val="16"/>
              </w:rPr>
            </w:pPr>
            <w:r w:rsidRPr="00816DDD">
              <w:rPr>
                <w:rFonts w:hint="cs"/>
                <w:sz w:val="16"/>
                <w:szCs w:val="16"/>
              </w:rPr>
              <w:t>81.5600</w:t>
            </w:r>
          </w:p>
        </w:tc>
        <w:tc>
          <w:tcPr>
            <w:tcW w:w="848" w:type="dxa"/>
          </w:tcPr>
          <w:p w14:paraId="13C6F72E" w14:textId="77777777" w:rsidR="00B859CC" w:rsidRPr="00816DDD" w:rsidRDefault="00B859CC" w:rsidP="00956A63">
            <w:pPr>
              <w:widowControl w:val="0"/>
              <w:contextualSpacing/>
              <w:jc w:val="right"/>
              <w:rPr>
                <w:sz w:val="16"/>
                <w:szCs w:val="16"/>
              </w:rPr>
            </w:pPr>
            <w:r w:rsidRPr="00816DDD">
              <w:rPr>
                <w:rFonts w:hint="cs"/>
                <w:sz w:val="16"/>
                <w:szCs w:val="16"/>
              </w:rPr>
              <w:t>79.5600</w:t>
            </w:r>
          </w:p>
        </w:tc>
      </w:tr>
      <w:tr w:rsidR="00816DDD" w:rsidRPr="00816DDD" w14:paraId="2CFEDFE3" w14:textId="77777777" w:rsidTr="00956A63">
        <w:trPr>
          <w:gridAfter w:val="1"/>
          <w:wAfter w:w="49" w:type="dxa"/>
        </w:trPr>
        <w:tc>
          <w:tcPr>
            <w:tcW w:w="900" w:type="dxa"/>
            <w:gridSpan w:val="2"/>
          </w:tcPr>
          <w:p w14:paraId="10913060" w14:textId="77777777" w:rsidR="00B859CC" w:rsidRPr="00816DDD" w:rsidRDefault="00B859CC" w:rsidP="008778D3">
            <w:pPr>
              <w:widowControl w:val="0"/>
              <w:ind w:left="-24" w:firstLine="21"/>
              <w:contextualSpacing/>
              <w:rPr>
                <w:b/>
                <w:sz w:val="16"/>
                <w:szCs w:val="16"/>
              </w:rPr>
            </w:pPr>
            <w:r w:rsidRPr="00816DDD">
              <w:rPr>
                <w:rFonts w:hint="cs"/>
                <w:b/>
                <w:sz w:val="16"/>
                <w:szCs w:val="16"/>
              </w:rPr>
              <w:t xml:space="preserve">  GBP</w:t>
            </w:r>
          </w:p>
        </w:tc>
        <w:tc>
          <w:tcPr>
            <w:tcW w:w="870" w:type="dxa"/>
          </w:tcPr>
          <w:p w14:paraId="2CF99DCE" w14:textId="77777777" w:rsidR="00B859CC" w:rsidRPr="00816DDD" w:rsidRDefault="00B859CC" w:rsidP="008778D3">
            <w:pPr>
              <w:widowControl w:val="0"/>
              <w:contextualSpacing/>
              <w:jc w:val="right"/>
              <w:rPr>
                <w:sz w:val="16"/>
                <w:szCs w:val="16"/>
              </w:rPr>
            </w:pPr>
            <w:r w:rsidRPr="00816DDD">
              <w:rPr>
                <w:rFonts w:hint="cs"/>
                <w:sz w:val="16"/>
                <w:szCs w:val="16"/>
              </w:rPr>
              <w:t>1.7327</w:t>
            </w:r>
          </w:p>
        </w:tc>
        <w:tc>
          <w:tcPr>
            <w:tcW w:w="919" w:type="dxa"/>
          </w:tcPr>
          <w:p w14:paraId="7F27B3E2" w14:textId="77777777" w:rsidR="00B859CC" w:rsidRPr="00816DDD" w:rsidRDefault="00B859CC" w:rsidP="008778D3">
            <w:pPr>
              <w:widowControl w:val="0"/>
              <w:ind w:left="16"/>
              <w:contextualSpacing/>
              <w:jc w:val="right"/>
              <w:rPr>
                <w:sz w:val="16"/>
                <w:szCs w:val="16"/>
              </w:rPr>
            </w:pPr>
            <w:r w:rsidRPr="00816DDD">
              <w:rPr>
                <w:rFonts w:hint="cs"/>
                <w:sz w:val="16"/>
                <w:szCs w:val="16"/>
              </w:rPr>
              <w:t>1.7329</w:t>
            </w:r>
          </w:p>
        </w:tc>
        <w:tc>
          <w:tcPr>
            <w:tcW w:w="947" w:type="dxa"/>
          </w:tcPr>
          <w:p w14:paraId="312CF351" w14:textId="77777777" w:rsidR="00B859CC" w:rsidRPr="00816DDD" w:rsidRDefault="00B859CC" w:rsidP="008778D3">
            <w:pPr>
              <w:widowControl w:val="0"/>
              <w:contextualSpacing/>
              <w:jc w:val="right"/>
              <w:rPr>
                <w:sz w:val="16"/>
                <w:szCs w:val="16"/>
              </w:rPr>
            </w:pPr>
            <w:r w:rsidRPr="00816DDD">
              <w:rPr>
                <w:rFonts w:hint="cs"/>
                <w:sz w:val="16"/>
                <w:szCs w:val="16"/>
              </w:rPr>
              <w:t>1.7330</w:t>
            </w:r>
          </w:p>
        </w:tc>
        <w:tc>
          <w:tcPr>
            <w:tcW w:w="956" w:type="dxa"/>
          </w:tcPr>
          <w:p w14:paraId="247F3AFA" w14:textId="77777777" w:rsidR="00B859CC" w:rsidRPr="00816DDD" w:rsidRDefault="00B859CC" w:rsidP="008778D3">
            <w:pPr>
              <w:widowControl w:val="0"/>
              <w:ind w:left="16"/>
              <w:contextualSpacing/>
              <w:jc w:val="right"/>
              <w:rPr>
                <w:sz w:val="16"/>
                <w:szCs w:val="16"/>
              </w:rPr>
            </w:pPr>
            <w:r w:rsidRPr="00816DDD">
              <w:rPr>
                <w:rFonts w:hint="cs"/>
                <w:sz w:val="16"/>
                <w:szCs w:val="16"/>
              </w:rPr>
              <w:t>1.7334</w:t>
            </w:r>
          </w:p>
        </w:tc>
        <w:tc>
          <w:tcPr>
            <w:tcW w:w="874" w:type="dxa"/>
          </w:tcPr>
          <w:p w14:paraId="40064669" w14:textId="77777777" w:rsidR="00B859CC" w:rsidRPr="00816DDD" w:rsidRDefault="00B859CC" w:rsidP="008778D3">
            <w:pPr>
              <w:widowControl w:val="0"/>
              <w:contextualSpacing/>
              <w:jc w:val="right"/>
              <w:rPr>
                <w:sz w:val="16"/>
                <w:szCs w:val="16"/>
              </w:rPr>
            </w:pPr>
            <w:r w:rsidRPr="00816DDD">
              <w:rPr>
                <w:rFonts w:hint="cs"/>
                <w:sz w:val="16"/>
                <w:szCs w:val="16"/>
              </w:rPr>
              <w:t>1.7346</w:t>
            </w:r>
          </w:p>
        </w:tc>
        <w:tc>
          <w:tcPr>
            <w:tcW w:w="911" w:type="dxa"/>
          </w:tcPr>
          <w:p w14:paraId="4BC80FD2" w14:textId="77777777" w:rsidR="00B859CC" w:rsidRPr="00816DDD" w:rsidRDefault="00B859CC" w:rsidP="008778D3">
            <w:pPr>
              <w:widowControl w:val="0"/>
              <w:contextualSpacing/>
              <w:jc w:val="right"/>
              <w:rPr>
                <w:sz w:val="16"/>
                <w:szCs w:val="16"/>
              </w:rPr>
            </w:pPr>
            <w:r w:rsidRPr="00816DDD">
              <w:rPr>
                <w:rFonts w:hint="cs"/>
                <w:sz w:val="16"/>
                <w:szCs w:val="16"/>
              </w:rPr>
              <w:t>1.7407</w:t>
            </w:r>
          </w:p>
        </w:tc>
        <w:tc>
          <w:tcPr>
            <w:tcW w:w="896" w:type="dxa"/>
          </w:tcPr>
          <w:p w14:paraId="5513D7C9" w14:textId="77777777" w:rsidR="00B859CC" w:rsidRPr="00816DDD" w:rsidRDefault="00B859CC" w:rsidP="008778D3">
            <w:pPr>
              <w:widowControl w:val="0"/>
              <w:ind w:left="-25"/>
              <w:contextualSpacing/>
              <w:jc w:val="right"/>
              <w:rPr>
                <w:sz w:val="16"/>
                <w:szCs w:val="16"/>
              </w:rPr>
            </w:pPr>
            <w:r w:rsidRPr="00816DDD">
              <w:rPr>
                <w:rFonts w:hint="cs"/>
                <w:sz w:val="16"/>
                <w:szCs w:val="16"/>
              </w:rPr>
              <w:t>1.7546</w:t>
            </w:r>
          </w:p>
        </w:tc>
        <w:tc>
          <w:tcPr>
            <w:tcW w:w="1021" w:type="dxa"/>
          </w:tcPr>
          <w:p w14:paraId="754A1474" w14:textId="77777777" w:rsidR="00B859CC" w:rsidRPr="00816DDD" w:rsidRDefault="00B859CC" w:rsidP="008778D3">
            <w:pPr>
              <w:widowControl w:val="0"/>
              <w:ind w:right="166"/>
              <w:contextualSpacing/>
              <w:jc w:val="right"/>
              <w:rPr>
                <w:sz w:val="16"/>
                <w:szCs w:val="16"/>
              </w:rPr>
            </w:pPr>
            <w:r w:rsidRPr="00816DDD">
              <w:rPr>
                <w:rFonts w:hint="cs"/>
                <w:sz w:val="16"/>
                <w:szCs w:val="16"/>
              </w:rPr>
              <w:t>1.7740</w:t>
            </w:r>
          </w:p>
        </w:tc>
        <w:tc>
          <w:tcPr>
            <w:tcW w:w="848" w:type="dxa"/>
          </w:tcPr>
          <w:p w14:paraId="35FFAF8F" w14:textId="77777777" w:rsidR="00B859CC" w:rsidRPr="00816DDD" w:rsidRDefault="00B859CC" w:rsidP="00956A63">
            <w:pPr>
              <w:widowControl w:val="0"/>
              <w:contextualSpacing/>
              <w:jc w:val="right"/>
              <w:rPr>
                <w:sz w:val="16"/>
                <w:szCs w:val="16"/>
              </w:rPr>
            </w:pPr>
            <w:r w:rsidRPr="00816DDD">
              <w:rPr>
                <w:rFonts w:hint="cs"/>
                <w:sz w:val="16"/>
                <w:szCs w:val="16"/>
              </w:rPr>
              <w:t>1.7949</w:t>
            </w:r>
          </w:p>
        </w:tc>
      </w:tr>
      <w:tr w:rsidR="00FE2A3C" w:rsidRPr="00816DDD" w14:paraId="4ADF980A" w14:textId="77777777" w:rsidTr="00956A63">
        <w:trPr>
          <w:gridBefore w:val="1"/>
          <w:wBefore w:w="18" w:type="dxa"/>
        </w:trPr>
        <w:tc>
          <w:tcPr>
            <w:tcW w:w="9173" w:type="dxa"/>
            <w:gridSpan w:val="11"/>
          </w:tcPr>
          <w:p w14:paraId="48DFC043" w14:textId="77777777" w:rsidR="00B859CC" w:rsidRPr="00816DDD" w:rsidRDefault="00B859CC" w:rsidP="00956A63">
            <w:pPr>
              <w:widowControl w:val="0"/>
              <w:contextualSpacing/>
              <w:rPr>
                <w:sz w:val="16"/>
                <w:szCs w:val="16"/>
              </w:rPr>
            </w:pPr>
            <w:r w:rsidRPr="00816DDD">
              <w:rPr>
                <w:rFonts w:hint="cs"/>
                <w:sz w:val="16"/>
                <w:szCs w:val="16"/>
              </w:rPr>
              <w:t>Source:  Royal Bank of Canada, April 21, 2021</w:t>
            </w:r>
          </w:p>
        </w:tc>
      </w:tr>
    </w:tbl>
    <w:p w14:paraId="7ED89F54" w14:textId="77777777" w:rsidR="00B859CC" w:rsidRPr="00816DDD" w:rsidRDefault="00B859CC" w:rsidP="008778D3">
      <w:pPr>
        <w:widowControl w:val="0"/>
        <w:tabs>
          <w:tab w:val="left" w:pos="810"/>
        </w:tabs>
        <w:spacing w:after="0" w:line="240" w:lineRule="auto"/>
        <w:rPr>
          <w:szCs w:val="24"/>
        </w:rPr>
      </w:pPr>
    </w:p>
    <w:p w14:paraId="318E8654" w14:textId="76AD23B4" w:rsidR="000D58F3" w:rsidRPr="00816DDD" w:rsidRDefault="00B859CC" w:rsidP="00A722B2">
      <w:pPr>
        <w:widowControl w:val="0"/>
        <w:tabs>
          <w:tab w:val="left" w:pos="810"/>
        </w:tabs>
        <w:spacing w:after="0" w:line="240" w:lineRule="auto"/>
        <w:ind w:left="360" w:right="54"/>
        <w:rPr>
          <w:szCs w:val="24"/>
        </w:rPr>
      </w:pPr>
      <w:r w:rsidRPr="00816DDD">
        <w:rPr>
          <w:rFonts w:hint="cs"/>
          <w:szCs w:val="24"/>
        </w:rPr>
        <w:t>The forward rate for a specific period may be higher (premium) or lower (discount) than the current spot rate</w:t>
      </w:r>
      <w:r w:rsidR="00D235B9">
        <w:rPr>
          <w:szCs w:val="24"/>
        </w:rPr>
        <w:t>,</w:t>
      </w:r>
      <w:r w:rsidRPr="00816DDD">
        <w:rPr>
          <w:rFonts w:hint="cs"/>
          <w:szCs w:val="24"/>
        </w:rPr>
        <w:t xml:space="preserve"> depending on the market’s exchange rate expectations.  A forward </w:t>
      </w:r>
      <w:r w:rsidRPr="00816DDD">
        <w:rPr>
          <w:rFonts w:hint="cs"/>
          <w:szCs w:val="24"/>
        </w:rPr>
        <w:lastRenderedPageBreak/>
        <w:t>discount for CAD/USD rate means the CAD is expected to appreciate against the USD</w:t>
      </w:r>
      <w:r w:rsidR="006F137A">
        <w:rPr>
          <w:szCs w:val="24"/>
        </w:rPr>
        <w:t xml:space="preserve"> so that</w:t>
      </w:r>
      <w:r w:rsidRPr="00816DDD">
        <w:rPr>
          <w:rFonts w:hint="cs"/>
          <w:szCs w:val="24"/>
        </w:rPr>
        <w:t xml:space="preserve"> the USD will buy fewer CAD.  A forward premium means the CAD is depreciating against the USD</w:t>
      </w:r>
      <w:r w:rsidR="006F137A">
        <w:rPr>
          <w:szCs w:val="24"/>
        </w:rPr>
        <w:t>, so that</w:t>
      </w:r>
      <w:r w:rsidRPr="00816DDD">
        <w:rPr>
          <w:rFonts w:hint="cs"/>
          <w:szCs w:val="24"/>
        </w:rPr>
        <w:t xml:space="preserve"> the USD will buy more CAD.  The expected appreciation or depreciation can be expressed as a percentage of the current spot rate to measure the rate of change. For example, if the 1-year forward rate is 1.2483 CAD/USD and the current spot rate is 1.2486 CAD/USD, the USD is trading at a forward discount of -</w:t>
      </w:r>
      <w:r w:rsidR="008778D3" w:rsidRPr="00816DDD">
        <w:rPr>
          <w:szCs w:val="24"/>
        </w:rPr>
        <w:t>0</w:t>
      </w:r>
      <w:r w:rsidRPr="00816DDD">
        <w:rPr>
          <w:rFonts w:hint="cs"/>
          <w:szCs w:val="24"/>
        </w:rPr>
        <w:t>.0240%.</w:t>
      </w:r>
    </w:p>
    <w:p w14:paraId="620CEEF9" w14:textId="77777777" w:rsidR="008778D3" w:rsidRPr="00816DDD" w:rsidRDefault="008778D3" w:rsidP="008778D3">
      <w:pPr>
        <w:widowControl w:val="0"/>
        <w:tabs>
          <w:tab w:val="left" w:pos="810"/>
        </w:tabs>
        <w:spacing w:after="0" w:line="240" w:lineRule="auto"/>
        <w:ind w:left="360"/>
        <w:rPr>
          <w:szCs w:val="24"/>
        </w:rPr>
      </w:pPr>
    </w:p>
    <w:p w14:paraId="76F27058" w14:textId="3D9DA629" w:rsidR="00B859CC" w:rsidRPr="00816DDD" w:rsidRDefault="003C4EC4" w:rsidP="008778D3">
      <w:pPr>
        <w:widowControl w:val="0"/>
        <w:tabs>
          <w:tab w:val="left" w:pos="810"/>
        </w:tabs>
        <w:spacing w:after="0" w:line="240" w:lineRule="auto"/>
        <w:ind w:left="360"/>
        <w:jc w:val="center"/>
        <w:rPr>
          <w:szCs w:val="24"/>
        </w:rPr>
      </w:pPr>
      <m:oMath>
        <m:f>
          <m:fPr>
            <m:ctrlPr>
              <w:rPr>
                <w:rFonts w:ascii="Cambria Math" w:hAnsi="Cambria Math"/>
                <w:i/>
                <w:sz w:val="28"/>
              </w:rPr>
            </m:ctrlPr>
          </m:fPr>
          <m:num>
            <m:r>
              <w:rPr>
                <w:rFonts w:ascii="Cambria Math" w:hAnsi="Cambria Math" w:hint="cs"/>
                <w:sz w:val="28"/>
              </w:rPr>
              <m:t>1.2483-1.2486</m:t>
            </m:r>
          </m:num>
          <m:den>
            <m:r>
              <w:rPr>
                <w:rFonts w:ascii="Cambria Math" w:hAnsi="Cambria Math" w:hint="cs"/>
                <w:sz w:val="28"/>
              </w:rPr>
              <m:t>1.2486</m:t>
            </m:r>
          </m:den>
        </m:f>
      </m:oMath>
      <w:r w:rsidR="00B859CC" w:rsidRPr="00816DDD">
        <w:rPr>
          <w:rFonts w:hint="cs"/>
          <w:szCs w:val="24"/>
        </w:rPr>
        <w:t xml:space="preserve"> </w:t>
      </w:r>
      <w:r w:rsidR="00B859CC" w:rsidRPr="00816DDD">
        <w:rPr>
          <w:rFonts w:hint="cs"/>
          <w:sz w:val="20"/>
          <w:szCs w:val="20"/>
        </w:rPr>
        <w:t>=-.000240 or -</w:t>
      </w:r>
      <w:r w:rsidR="008778D3" w:rsidRPr="00816DDD">
        <w:rPr>
          <w:sz w:val="20"/>
          <w:szCs w:val="20"/>
        </w:rPr>
        <w:t>0</w:t>
      </w:r>
      <w:r w:rsidR="00B859CC" w:rsidRPr="00816DDD">
        <w:rPr>
          <w:rFonts w:hint="cs"/>
          <w:sz w:val="20"/>
          <w:szCs w:val="20"/>
        </w:rPr>
        <w:t>.0240%</w:t>
      </w:r>
    </w:p>
    <w:p w14:paraId="4DCCCEA3" w14:textId="77777777" w:rsidR="00B859CC" w:rsidRPr="00816DDD" w:rsidRDefault="00B859CC" w:rsidP="008778D3">
      <w:pPr>
        <w:widowControl w:val="0"/>
        <w:tabs>
          <w:tab w:val="left" w:pos="810"/>
        </w:tabs>
        <w:spacing w:after="0" w:line="240" w:lineRule="auto"/>
        <w:ind w:left="360"/>
        <w:rPr>
          <w:szCs w:val="24"/>
        </w:rPr>
      </w:pPr>
    </w:p>
    <w:p w14:paraId="452027FE" w14:textId="77777777" w:rsidR="00B859CC" w:rsidRPr="00816DDD" w:rsidRDefault="00B859CC" w:rsidP="008778D3">
      <w:pPr>
        <w:widowControl w:val="0"/>
        <w:tabs>
          <w:tab w:val="left" w:pos="810"/>
        </w:tabs>
        <w:spacing w:after="0" w:line="240" w:lineRule="auto"/>
        <w:ind w:left="360"/>
        <w:rPr>
          <w:szCs w:val="24"/>
        </w:rPr>
      </w:pPr>
      <w:r w:rsidRPr="00816DDD">
        <w:rPr>
          <w:rFonts w:hint="cs"/>
          <w:szCs w:val="24"/>
        </w:rPr>
        <w:t>Expressed on an annual basis, the forward premium or discount is:</w:t>
      </w:r>
    </w:p>
    <w:p w14:paraId="7DAB20DF" w14:textId="77777777" w:rsidR="00B859CC" w:rsidRPr="00816DDD" w:rsidRDefault="00B859CC" w:rsidP="008778D3">
      <w:pPr>
        <w:widowControl w:val="0"/>
        <w:tabs>
          <w:tab w:val="left" w:pos="810"/>
        </w:tabs>
        <w:spacing w:after="0" w:line="240" w:lineRule="auto"/>
        <w:ind w:left="360"/>
        <w:rPr>
          <w:szCs w:val="24"/>
        </w:rPr>
      </w:pPr>
    </w:p>
    <w:p w14:paraId="291916E8" w14:textId="77777777" w:rsidR="00B859CC" w:rsidRPr="00816DDD" w:rsidRDefault="00B859CC" w:rsidP="008778D3">
      <w:pPr>
        <w:widowControl w:val="0"/>
        <w:tabs>
          <w:tab w:val="left" w:pos="810"/>
        </w:tabs>
        <w:spacing w:after="0" w:line="240" w:lineRule="auto"/>
        <w:ind w:left="360"/>
        <w:jc w:val="center"/>
        <w:rPr>
          <w:szCs w:val="24"/>
        </w:rPr>
      </w:pPr>
      <w:r w:rsidRPr="00816DDD">
        <w:rPr>
          <w:rFonts w:hint="cs"/>
          <w:sz w:val="20"/>
          <w:szCs w:val="20"/>
        </w:rPr>
        <w:t>Forward premium (discount) =</w:t>
      </w:r>
      <w:r w:rsidRPr="00816DDD">
        <w:rPr>
          <w:rFonts w:hint="cs"/>
          <w:szCs w:val="24"/>
        </w:rPr>
        <w:t xml:space="preserve"> </w:t>
      </w:r>
      <m:oMath>
        <m:f>
          <m:fPr>
            <m:ctrlPr>
              <w:rPr>
                <w:rFonts w:ascii="Cambria Math" w:hAnsi="Cambria Math" w:hint="cs"/>
                <w:szCs w:val="24"/>
              </w:rPr>
            </m:ctrlPr>
          </m:fPr>
          <m:num>
            <m:r>
              <m:rPr>
                <m:sty m:val="p"/>
              </m:rPr>
              <w:rPr>
                <w:rFonts w:ascii="Cambria Math" w:hAnsi="Cambria Math" w:hint="cs"/>
                <w:szCs w:val="24"/>
              </w:rPr>
              <m:t>Forward rate-Spot rate</m:t>
            </m:r>
          </m:num>
          <m:den>
            <m:r>
              <m:rPr>
                <m:sty m:val="p"/>
              </m:rPr>
              <w:rPr>
                <w:rFonts w:ascii="Cambria Math" w:hAnsi="Cambria Math" w:hint="cs"/>
                <w:szCs w:val="24"/>
              </w:rPr>
              <m:t>Spot rate</m:t>
            </m:r>
          </m:den>
        </m:f>
      </m:oMath>
      <w:r w:rsidRPr="00816DDD">
        <w:rPr>
          <w:rFonts w:eastAsiaTheme="minorEastAsia" w:hint="cs"/>
          <w:szCs w:val="24"/>
        </w:rPr>
        <w:t xml:space="preserve"> x </w:t>
      </w:r>
      <m:oMath>
        <m:f>
          <m:fPr>
            <m:ctrlPr>
              <w:rPr>
                <w:rFonts w:ascii="Cambria Math" w:eastAsiaTheme="minorEastAsia" w:hAnsi="Cambria Math" w:hint="cs"/>
                <w:szCs w:val="24"/>
              </w:rPr>
            </m:ctrlPr>
          </m:fPr>
          <m:num>
            <m:r>
              <m:rPr>
                <m:sty m:val="p"/>
              </m:rPr>
              <w:rPr>
                <w:rFonts w:ascii="Cambria Math" w:eastAsiaTheme="minorEastAsia" w:hAnsi="Cambria Math" w:hint="cs"/>
                <w:szCs w:val="24"/>
              </w:rPr>
              <m:t>12</m:t>
            </m:r>
          </m:num>
          <m:den>
            <m:r>
              <m:rPr>
                <m:sty m:val="p"/>
              </m:rPr>
              <w:rPr>
                <w:rFonts w:ascii="Cambria Math" w:eastAsiaTheme="minorEastAsia" w:hAnsi="Cambria Math" w:hint="cs"/>
                <w:szCs w:val="24"/>
              </w:rPr>
              <m:t>Length of contract</m:t>
            </m:r>
          </m:den>
        </m:f>
      </m:oMath>
    </w:p>
    <w:p w14:paraId="42907A8D" w14:textId="77777777" w:rsidR="00B859CC" w:rsidRPr="00816DDD" w:rsidRDefault="00B859CC" w:rsidP="008778D3">
      <w:pPr>
        <w:widowControl w:val="0"/>
        <w:tabs>
          <w:tab w:val="left" w:pos="810"/>
        </w:tabs>
        <w:spacing w:after="0" w:line="240" w:lineRule="auto"/>
        <w:ind w:left="360"/>
        <w:rPr>
          <w:b/>
          <w:szCs w:val="24"/>
        </w:rPr>
      </w:pPr>
    </w:p>
    <w:p w14:paraId="78F9255D" w14:textId="0087C24F" w:rsidR="00B859CC" w:rsidRPr="00816DDD" w:rsidRDefault="00B859CC" w:rsidP="008778D3">
      <w:pPr>
        <w:widowControl w:val="0"/>
        <w:tabs>
          <w:tab w:val="left" w:pos="810"/>
        </w:tabs>
        <w:spacing w:after="0" w:line="240" w:lineRule="auto"/>
        <w:ind w:left="360"/>
        <w:rPr>
          <w:szCs w:val="24"/>
        </w:rPr>
      </w:pPr>
      <w:r w:rsidRPr="00816DDD">
        <w:rPr>
          <w:rFonts w:hint="cs"/>
          <w:szCs w:val="24"/>
        </w:rPr>
        <w:t>When dealers provide bid-ask quotations for forward rates, they provide the adjustments that must be made to the current spot rate to get the forward rate at different maturities.  The adjustment is given in forward points</w:t>
      </w:r>
      <w:r w:rsidR="0051511B">
        <w:rPr>
          <w:szCs w:val="24"/>
        </w:rPr>
        <w:t>,</w:t>
      </w:r>
      <w:r w:rsidRPr="00816DDD">
        <w:rPr>
          <w:rFonts w:hint="cs"/>
          <w:szCs w:val="24"/>
        </w:rPr>
        <w:t xml:space="preserve"> which are the same as pips</w:t>
      </w:r>
      <w:r w:rsidR="0051511B">
        <w:rPr>
          <w:szCs w:val="24"/>
        </w:rPr>
        <w:t>,</w:t>
      </w:r>
      <w:r w:rsidRPr="00816DDD">
        <w:rPr>
          <w:rFonts w:hint="cs"/>
          <w:szCs w:val="24"/>
        </w:rPr>
        <w:t xml:space="preserve"> as shown in Exhibit 5.</w:t>
      </w:r>
    </w:p>
    <w:p w14:paraId="6FF328DE" w14:textId="77777777" w:rsidR="000D58F3" w:rsidRPr="00816DDD" w:rsidRDefault="000D58F3" w:rsidP="008778D3">
      <w:pPr>
        <w:widowControl w:val="0"/>
        <w:tabs>
          <w:tab w:val="left" w:pos="810"/>
        </w:tabs>
        <w:spacing w:after="0" w:line="240" w:lineRule="auto"/>
        <w:ind w:left="360"/>
        <w:rPr>
          <w:szCs w:val="24"/>
        </w:rPr>
      </w:pPr>
    </w:p>
    <w:p w14:paraId="49E608A3" w14:textId="14E1B3CC" w:rsidR="006E712E" w:rsidRPr="00816DDD" w:rsidRDefault="00B859CC" w:rsidP="008778D3">
      <w:pPr>
        <w:widowControl w:val="0"/>
        <w:tabs>
          <w:tab w:val="left" w:pos="810"/>
        </w:tabs>
        <w:spacing w:after="0" w:line="240" w:lineRule="auto"/>
        <w:ind w:left="360"/>
        <w:jc w:val="center"/>
        <w:rPr>
          <w:b/>
          <w:sz w:val="20"/>
          <w:szCs w:val="20"/>
        </w:rPr>
      </w:pPr>
      <w:r w:rsidRPr="00816DDD">
        <w:rPr>
          <w:rFonts w:hint="cs"/>
          <w:b/>
          <w:sz w:val="20"/>
          <w:szCs w:val="20"/>
        </w:rPr>
        <w:t xml:space="preserve">Exhibit </w:t>
      </w:r>
      <w:r w:rsidR="00024B00" w:rsidRPr="00816DDD">
        <w:rPr>
          <w:b/>
          <w:sz w:val="20"/>
          <w:szCs w:val="20"/>
        </w:rPr>
        <w:t>9</w:t>
      </w:r>
      <w:r w:rsidRPr="00816DDD">
        <w:rPr>
          <w:rFonts w:hint="cs"/>
          <w:b/>
          <w:sz w:val="20"/>
          <w:szCs w:val="20"/>
        </w:rPr>
        <w:t>:  Forward Bid-Ask Quotations</w:t>
      </w:r>
      <w:r w:rsidR="006E712E" w:rsidRPr="00816DDD">
        <w:rPr>
          <w:b/>
          <w:sz w:val="20"/>
          <w:szCs w:val="20"/>
        </w:rPr>
        <w:t xml:space="preserve"> (</w:t>
      </w:r>
      <w:r w:rsidR="006E712E" w:rsidRPr="00816DDD">
        <w:rPr>
          <w:rFonts w:hint="cs"/>
          <w:b/>
          <w:sz w:val="20"/>
          <w:szCs w:val="20"/>
        </w:rPr>
        <w:t>USD/EUR</w:t>
      </w:r>
      <w:r w:rsidR="006E712E" w:rsidRPr="00816DDD">
        <w:rPr>
          <w:b/>
          <w:sz w:val="20"/>
          <w:szCs w:val="20"/>
        </w:rPr>
        <w:t>)</w:t>
      </w:r>
    </w:p>
    <w:p w14:paraId="79002BB1" w14:textId="77777777" w:rsidR="00B859CC" w:rsidRPr="00816DDD" w:rsidRDefault="00B859CC" w:rsidP="008778D3">
      <w:pPr>
        <w:widowControl w:val="0"/>
        <w:tabs>
          <w:tab w:val="left" w:pos="810"/>
        </w:tabs>
        <w:spacing w:after="0" w:line="240" w:lineRule="auto"/>
        <w:ind w:left="360"/>
        <w:jc w:val="center"/>
        <w:rPr>
          <w:b/>
          <w:sz w:val="20"/>
          <w:szCs w:val="20"/>
        </w:rPr>
      </w:pPr>
    </w:p>
    <w:tbl>
      <w:tblPr>
        <w:tblStyle w:val="TableGrid"/>
        <w:tblpPr w:leftFromText="180" w:rightFromText="180" w:vertAnchor="text" w:tblpX="3490" w:tblpY="1"/>
        <w:tblOverlap w:val="never"/>
        <w:tblW w:w="0" w:type="auto"/>
        <w:tblLook w:val="04A0" w:firstRow="1" w:lastRow="0" w:firstColumn="1" w:lastColumn="0" w:noHBand="0" w:noVBand="1"/>
      </w:tblPr>
      <w:tblGrid>
        <w:gridCol w:w="1885"/>
        <w:gridCol w:w="1795"/>
      </w:tblGrid>
      <w:tr w:rsidR="00816DDD" w:rsidRPr="00816DDD" w14:paraId="373E0670" w14:textId="77777777" w:rsidTr="00956A63">
        <w:tc>
          <w:tcPr>
            <w:tcW w:w="1885" w:type="dxa"/>
            <w:vAlign w:val="center"/>
          </w:tcPr>
          <w:p w14:paraId="169911F3" w14:textId="77777777" w:rsidR="00B859CC" w:rsidRPr="00816DDD" w:rsidRDefault="00B859CC" w:rsidP="00956A63">
            <w:pPr>
              <w:widowControl w:val="0"/>
              <w:tabs>
                <w:tab w:val="left" w:pos="810"/>
              </w:tabs>
              <w:ind w:left="-25"/>
              <w:contextualSpacing/>
              <w:jc w:val="center"/>
              <w:rPr>
                <w:b/>
                <w:sz w:val="20"/>
                <w:szCs w:val="20"/>
              </w:rPr>
            </w:pPr>
            <w:r w:rsidRPr="00816DDD">
              <w:rPr>
                <w:rFonts w:hint="cs"/>
                <w:b/>
                <w:sz w:val="20"/>
                <w:szCs w:val="20"/>
              </w:rPr>
              <w:t>Maturity</w:t>
            </w:r>
          </w:p>
        </w:tc>
        <w:tc>
          <w:tcPr>
            <w:tcW w:w="1795" w:type="dxa"/>
            <w:vAlign w:val="center"/>
          </w:tcPr>
          <w:p w14:paraId="2E8DB440" w14:textId="77777777" w:rsidR="006E712E" w:rsidRPr="00816DDD" w:rsidRDefault="00B859CC" w:rsidP="00956A63">
            <w:pPr>
              <w:widowControl w:val="0"/>
              <w:tabs>
                <w:tab w:val="left" w:pos="810"/>
              </w:tabs>
              <w:ind w:left="-18"/>
              <w:contextualSpacing/>
              <w:jc w:val="center"/>
              <w:rPr>
                <w:b/>
                <w:sz w:val="20"/>
                <w:szCs w:val="20"/>
              </w:rPr>
            </w:pPr>
            <w:r w:rsidRPr="00816DDD">
              <w:rPr>
                <w:rFonts w:hint="cs"/>
                <w:b/>
                <w:sz w:val="20"/>
                <w:szCs w:val="20"/>
              </w:rPr>
              <w:t xml:space="preserve">Spot Rate or </w:t>
            </w:r>
          </w:p>
          <w:p w14:paraId="09525971" w14:textId="535CEA19" w:rsidR="00B859CC" w:rsidRPr="00816DDD" w:rsidRDefault="00B859CC" w:rsidP="00956A63">
            <w:pPr>
              <w:widowControl w:val="0"/>
              <w:tabs>
                <w:tab w:val="left" w:pos="810"/>
              </w:tabs>
              <w:ind w:left="-18"/>
              <w:contextualSpacing/>
              <w:jc w:val="center"/>
              <w:rPr>
                <w:b/>
                <w:sz w:val="20"/>
                <w:szCs w:val="20"/>
              </w:rPr>
            </w:pPr>
            <w:r w:rsidRPr="00816DDD">
              <w:rPr>
                <w:rFonts w:hint="cs"/>
                <w:b/>
                <w:sz w:val="20"/>
                <w:szCs w:val="20"/>
              </w:rPr>
              <w:t>Forward Points</w:t>
            </w:r>
          </w:p>
        </w:tc>
      </w:tr>
      <w:tr w:rsidR="00816DDD" w:rsidRPr="00816DDD" w14:paraId="3C5BE197" w14:textId="77777777" w:rsidTr="00956A63">
        <w:tc>
          <w:tcPr>
            <w:tcW w:w="1885" w:type="dxa"/>
          </w:tcPr>
          <w:p w14:paraId="6189CDFA" w14:textId="21BF726D" w:rsidR="00B859CC" w:rsidRPr="00816DDD" w:rsidRDefault="00B859CC" w:rsidP="00956A63">
            <w:pPr>
              <w:widowControl w:val="0"/>
              <w:tabs>
                <w:tab w:val="left" w:pos="810"/>
              </w:tabs>
              <w:ind w:left="-25"/>
              <w:contextualSpacing/>
              <w:rPr>
                <w:sz w:val="20"/>
                <w:szCs w:val="20"/>
              </w:rPr>
            </w:pPr>
            <w:r w:rsidRPr="00816DDD">
              <w:rPr>
                <w:rFonts w:hint="cs"/>
                <w:sz w:val="20"/>
                <w:szCs w:val="20"/>
              </w:rPr>
              <w:t xml:space="preserve">Spot rate </w:t>
            </w:r>
            <w:r w:rsidR="006E712E" w:rsidRPr="00816DDD">
              <w:rPr>
                <w:sz w:val="20"/>
                <w:szCs w:val="20"/>
              </w:rPr>
              <w:t>(Bid/Ask)</w:t>
            </w:r>
          </w:p>
        </w:tc>
        <w:tc>
          <w:tcPr>
            <w:tcW w:w="1795" w:type="dxa"/>
          </w:tcPr>
          <w:p w14:paraId="7EAFE11C" w14:textId="77777777" w:rsidR="00B859CC" w:rsidRPr="00816DDD" w:rsidRDefault="00B859CC" w:rsidP="00956A63">
            <w:pPr>
              <w:widowControl w:val="0"/>
              <w:tabs>
                <w:tab w:val="left" w:pos="810"/>
              </w:tabs>
              <w:ind w:left="-18"/>
              <w:contextualSpacing/>
              <w:jc w:val="center"/>
              <w:rPr>
                <w:sz w:val="20"/>
                <w:szCs w:val="20"/>
              </w:rPr>
            </w:pPr>
            <w:r w:rsidRPr="00816DDD">
              <w:rPr>
                <w:rFonts w:hint="cs"/>
                <w:sz w:val="20"/>
                <w:szCs w:val="20"/>
              </w:rPr>
              <w:t>1.3549/1.3651</w:t>
            </w:r>
          </w:p>
        </w:tc>
      </w:tr>
      <w:tr w:rsidR="00816DDD" w:rsidRPr="00816DDD" w14:paraId="3288AD0F" w14:textId="77777777" w:rsidTr="00956A63">
        <w:tc>
          <w:tcPr>
            <w:tcW w:w="1885" w:type="dxa"/>
          </w:tcPr>
          <w:p w14:paraId="2BEA1F6B" w14:textId="77777777" w:rsidR="00B859CC" w:rsidRPr="00816DDD" w:rsidRDefault="00B859CC" w:rsidP="00956A63">
            <w:pPr>
              <w:widowControl w:val="0"/>
              <w:tabs>
                <w:tab w:val="left" w:pos="810"/>
              </w:tabs>
              <w:ind w:left="-25"/>
              <w:contextualSpacing/>
              <w:rPr>
                <w:sz w:val="20"/>
                <w:szCs w:val="20"/>
              </w:rPr>
            </w:pPr>
            <w:r w:rsidRPr="00816DDD">
              <w:rPr>
                <w:rFonts w:hint="cs"/>
                <w:sz w:val="20"/>
                <w:szCs w:val="20"/>
              </w:rPr>
              <w:t>1 month</w:t>
            </w:r>
          </w:p>
        </w:tc>
        <w:tc>
          <w:tcPr>
            <w:tcW w:w="1795" w:type="dxa"/>
          </w:tcPr>
          <w:p w14:paraId="4FC4233D" w14:textId="77777777" w:rsidR="00B859CC" w:rsidRPr="00816DDD" w:rsidRDefault="00B859CC" w:rsidP="00956A63">
            <w:pPr>
              <w:widowControl w:val="0"/>
              <w:tabs>
                <w:tab w:val="left" w:pos="810"/>
              </w:tabs>
              <w:ind w:left="-18"/>
              <w:contextualSpacing/>
              <w:jc w:val="center"/>
              <w:rPr>
                <w:sz w:val="20"/>
                <w:szCs w:val="20"/>
              </w:rPr>
            </w:pPr>
            <w:r w:rsidRPr="00816DDD">
              <w:rPr>
                <w:rFonts w:hint="cs"/>
                <w:sz w:val="20"/>
                <w:szCs w:val="20"/>
              </w:rPr>
              <w:t>-5.6/-5.1</w:t>
            </w:r>
          </w:p>
        </w:tc>
      </w:tr>
      <w:tr w:rsidR="00816DDD" w:rsidRPr="00816DDD" w14:paraId="71A78F1B" w14:textId="77777777" w:rsidTr="00956A63">
        <w:tc>
          <w:tcPr>
            <w:tcW w:w="1885" w:type="dxa"/>
          </w:tcPr>
          <w:p w14:paraId="4063E061" w14:textId="77777777" w:rsidR="00B859CC" w:rsidRPr="00816DDD" w:rsidRDefault="00B859CC" w:rsidP="00956A63">
            <w:pPr>
              <w:widowControl w:val="0"/>
              <w:tabs>
                <w:tab w:val="left" w:pos="810"/>
              </w:tabs>
              <w:ind w:left="-25"/>
              <w:contextualSpacing/>
              <w:rPr>
                <w:sz w:val="20"/>
                <w:szCs w:val="20"/>
              </w:rPr>
            </w:pPr>
            <w:r w:rsidRPr="00816DDD">
              <w:rPr>
                <w:rFonts w:hint="cs"/>
                <w:sz w:val="20"/>
                <w:szCs w:val="20"/>
              </w:rPr>
              <w:t>3 months</w:t>
            </w:r>
          </w:p>
        </w:tc>
        <w:tc>
          <w:tcPr>
            <w:tcW w:w="1795" w:type="dxa"/>
          </w:tcPr>
          <w:p w14:paraId="52A3D176" w14:textId="77777777" w:rsidR="00B859CC" w:rsidRPr="00816DDD" w:rsidRDefault="00B859CC" w:rsidP="00956A63">
            <w:pPr>
              <w:widowControl w:val="0"/>
              <w:tabs>
                <w:tab w:val="left" w:pos="810"/>
              </w:tabs>
              <w:ind w:left="-18"/>
              <w:contextualSpacing/>
              <w:jc w:val="center"/>
              <w:rPr>
                <w:sz w:val="20"/>
                <w:szCs w:val="20"/>
              </w:rPr>
            </w:pPr>
            <w:r w:rsidRPr="00816DDD">
              <w:rPr>
                <w:rFonts w:hint="cs"/>
                <w:sz w:val="20"/>
                <w:szCs w:val="20"/>
              </w:rPr>
              <w:t>-15.9/-15.3</w:t>
            </w:r>
          </w:p>
        </w:tc>
      </w:tr>
      <w:tr w:rsidR="00816DDD" w:rsidRPr="00816DDD" w14:paraId="40A804BE" w14:textId="77777777" w:rsidTr="00956A63">
        <w:tc>
          <w:tcPr>
            <w:tcW w:w="1885" w:type="dxa"/>
          </w:tcPr>
          <w:p w14:paraId="4429E696" w14:textId="77777777" w:rsidR="00B859CC" w:rsidRPr="00816DDD" w:rsidRDefault="00B859CC" w:rsidP="00956A63">
            <w:pPr>
              <w:widowControl w:val="0"/>
              <w:tabs>
                <w:tab w:val="left" w:pos="810"/>
              </w:tabs>
              <w:ind w:left="-25"/>
              <w:contextualSpacing/>
              <w:rPr>
                <w:sz w:val="20"/>
                <w:szCs w:val="20"/>
              </w:rPr>
            </w:pPr>
            <w:r w:rsidRPr="00816DDD">
              <w:rPr>
                <w:rFonts w:hint="cs"/>
                <w:sz w:val="20"/>
                <w:szCs w:val="20"/>
              </w:rPr>
              <w:t>6 months</w:t>
            </w:r>
          </w:p>
        </w:tc>
        <w:tc>
          <w:tcPr>
            <w:tcW w:w="1795" w:type="dxa"/>
          </w:tcPr>
          <w:p w14:paraId="167FD200" w14:textId="77777777" w:rsidR="00B859CC" w:rsidRPr="00816DDD" w:rsidRDefault="00B859CC" w:rsidP="00956A63">
            <w:pPr>
              <w:widowControl w:val="0"/>
              <w:tabs>
                <w:tab w:val="left" w:pos="810"/>
              </w:tabs>
              <w:ind w:left="-18"/>
              <w:contextualSpacing/>
              <w:jc w:val="center"/>
              <w:rPr>
                <w:sz w:val="20"/>
                <w:szCs w:val="20"/>
              </w:rPr>
            </w:pPr>
            <w:r w:rsidRPr="00816DDD">
              <w:rPr>
                <w:rFonts w:hint="cs"/>
                <w:sz w:val="20"/>
                <w:szCs w:val="20"/>
              </w:rPr>
              <w:t>-37.0/-36.3</w:t>
            </w:r>
          </w:p>
        </w:tc>
      </w:tr>
      <w:tr w:rsidR="00816DDD" w:rsidRPr="00816DDD" w14:paraId="3AF4E2A7" w14:textId="77777777" w:rsidTr="00956A63">
        <w:tc>
          <w:tcPr>
            <w:tcW w:w="1885" w:type="dxa"/>
          </w:tcPr>
          <w:p w14:paraId="08CAD674" w14:textId="77777777" w:rsidR="00B859CC" w:rsidRPr="00816DDD" w:rsidRDefault="00B859CC" w:rsidP="006B608A">
            <w:pPr>
              <w:widowControl w:val="0"/>
              <w:tabs>
                <w:tab w:val="left" w:pos="810"/>
              </w:tabs>
              <w:ind w:left="-27"/>
              <w:contextualSpacing/>
              <w:jc w:val="both"/>
              <w:rPr>
                <w:sz w:val="20"/>
                <w:szCs w:val="20"/>
              </w:rPr>
            </w:pPr>
            <w:r w:rsidRPr="00816DDD">
              <w:rPr>
                <w:rFonts w:hint="cs"/>
                <w:sz w:val="20"/>
                <w:szCs w:val="20"/>
              </w:rPr>
              <w:t>12 months</w:t>
            </w:r>
          </w:p>
        </w:tc>
        <w:tc>
          <w:tcPr>
            <w:tcW w:w="1795" w:type="dxa"/>
          </w:tcPr>
          <w:p w14:paraId="6891C30E" w14:textId="77777777" w:rsidR="00B859CC" w:rsidRPr="00816DDD" w:rsidRDefault="00B859CC" w:rsidP="00956A63">
            <w:pPr>
              <w:widowControl w:val="0"/>
              <w:tabs>
                <w:tab w:val="left" w:pos="810"/>
              </w:tabs>
              <w:ind w:left="-18"/>
              <w:contextualSpacing/>
              <w:jc w:val="center"/>
              <w:rPr>
                <w:sz w:val="20"/>
                <w:szCs w:val="20"/>
              </w:rPr>
            </w:pPr>
            <w:r w:rsidRPr="00816DDD">
              <w:rPr>
                <w:rFonts w:hint="cs"/>
                <w:sz w:val="20"/>
                <w:szCs w:val="20"/>
              </w:rPr>
              <w:t>-94.3/-91.8</w:t>
            </w:r>
          </w:p>
        </w:tc>
      </w:tr>
    </w:tbl>
    <w:p w14:paraId="5FA7F017" w14:textId="77777777" w:rsidR="00B859CC" w:rsidRPr="00816DDD" w:rsidRDefault="00B859CC" w:rsidP="008778D3">
      <w:pPr>
        <w:widowControl w:val="0"/>
        <w:tabs>
          <w:tab w:val="left" w:pos="810"/>
        </w:tabs>
        <w:spacing w:after="0" w:line="240" w:lineRule="auto"/>
        <w:ind w:left="360"/>
        <w:rPr>
          <w:sz w:val="20"/>
          <w:szCs w:val="20"/>
        </w:rPr>
      </w:pPr>
      <w:r w:rsidRPr="00816DDD">
        <w:rPr>
          <w:rFonts w:hint="cs"/>
          <w:sz w:val="20"/>
          <w:szCs w:val="20"/>
        </w:rPr>
        <w:br w:type="textWrapping" w:clear="all"/>
      </w:r>
    </w:p>
    <w:p w14:paraId="48B290E0" w14:textId="77777777" w:rsidR="00B859CC" w:rsidRPr="00816DDD" w:rsidRDefault="00B859CC" w:rsidP="008778D3">
      <w:pPr>
        <w:widowControl w:val="0"/>
        <w:tabs>
          <w:tab w:val="left" w:pos="810"/>
        </w:tabs>
        <w:spacing w:after="0" w:line="240" w:lineRule="auto"/>
        <w:ind w:left="360"/>
        <w:rPr>
          <w:szCs w:val="24"/>
        </w:rPr>
      </w:pPr>
      <w:r w:rsidRPr="00816DDD">
        <w:rPr>
          <w:rFonts w:hint="cs"/>
          <w:szCs w:val="24"/>
        </w:rPr>
        <w:t>The bid and ask prices for the 3-month forward rate are:</w:t>
      </w:r>
    </w:p>
    <w:p w14:paraId="056CB825" w14:textId="77777777" w:rsidR="00B859CC" w:rsidRPr="00816DDD" w:rsidRDefault="00B859CC" w:rsidP="008778D3">
      <w:pPr>
        <w:widowControl w:val="0"/>
        <w:tabs>
          <w:tab w:val="left" w:pos="810"/>
        </w:tabs>
        <w:spacing w:after="0" w:line="240" w:lineRule="auto"/>
        <w:ind w:left="360"/>
        <w:rPr>
          <w:szCs w:val="24"/>
        </w:rPr>
      </w:pPr>
    </w:p>
    <w:p w14:paraId="36E123F5" w14:textId="77777777" w:rsidR="00B859CC" w:rsidRPr="00816DDD" w:rsidRDefault="00B859CC" w:rsidP="008778D3">
      <w:pPr>
        <w:widowControl w:val="0"/>
        <w:tabs>
          <w:tab w:val="left" w:pos="810"/>
        </w:tabs>
        <w:spacing w:after="0" w:line="240" w:lineRule="auto"/>
        <w:ind w:left="360"/>
        <w:jc w:val="center"/>
        <w:rPr>
          <w:sz w:val="20"/>
          <w:szCs w:val="20"/>
        </w:rPr>
      </w:pPr>
      <w:r w:rsidRPr="00816DDD">
        <w:rPr>
          <w:rFonts w:hint="cs"/>
          <w:sz w:val="20"/>
          <w:szCs w:val="20"/>
        </w:rPr>
        <w:t>Bid price   1.3549 + (</w:t>
      </w:r>
      <m:oMath>
        <m:f>
          <m:fPr>
            <m:ctrlPr>
              <w:rPr>
                <w:rFonts w:ascii="Cambria Math" w:hAnsi="Cambria Math"/>
                <w:i/>
                <w:sz w:val="20"/>
                <w:szCs w:val="20"/>
              </w:rPr>
            </m:ctrlPr>
          </m:fPr>
          <m:num>
            <m:r>
              <w:rPr>
                <w:rFonts w:ascii="Cambria Math" w:hAnsi="Cambria Math" w:hint="cs"/>
                <w:sz w:val="20"/>
                <w:szCs w:val="20"/>
              </w:rPr>
              <m:t>-15.9</m:t>
            </m:r>
          </m:num>
          <m:den>
            <m:r>
              <w:rPr>
                <w:rFonts w:ascii="Cambria Math" w:hAnsi="Cambria Math" w:hint="cs"/>
                <w:sz w:val="20"/>
                <w:szCs w:val="20"/>
              </w:rPr>
              <m:t>10,000</m:t>
            </m:r>
          </m:den>
        </m:f>
      </m:oMath>
      <w:r w:rsidRPr="00816DDD">
        <w:rPr>
          <w:rFonts w:eastAsiaTheme="minorEastAsia" w:hint="cs"/>
          <w:sz w:val="20"/>
          <w:szCs w:val="20"/>
        </w:rPr>
        <w:t>) = 1.35331       Ask price   1.3651 + (</w:t>
      </w:r>
      <m:oMath>
        <m:f>
          <m:fPr>
            <m:ctrlPr>
              <w:rPr>
                <w:rFonts w:ascii="Cambria Math" w:eastAsiaTheme="minorEastAsia" w:hAnsi="Cambria Math"/>
                <w:i/>
                <w:sz w:val="20"/>
                <w:szCs w:val="20"/>
              </w:rPr>
            </m:ctrlPr>
          </m:fPr>
          <m:num>
            <m:r>
              <w:rPr>
                <w:rFonts w:ascii="Cambria Math" w:eastAsiaTheme="minorEastAsia" w:hAnsi="Cambria Math" w:hint="cs"/>
                <w:sz w:val="20"/>
                <w:szCs w:val="20"/>
              </w:rPr>
              <m:t>-15.3</m:t>
            </m:r>
          </m:num>
          <m:den>
            <m:r>
              <w:rPr>
                <w:rFonts w:ascii="Cambria Math" w:eastAsiaTheme="minorEastAsia" w:hAnsi="Cambria Math" w:hint="cs"/>
                <w:sz w:val="20"/>
                <w:szCs w:val="20"/>
              </w:rPr>
              <m:t>10,000</m:t>
            </m:r>
          </m:den>
        </m:f>
      </m:oMath>
      <w:r w:rsidRPr="00816DDD">
        <w:rPr>
          <w:rFonts w:eastAsiaTheme="minorEastAsia" w:hint="cs"/>
          <w:sz w:val="20"/>
          <w:szCs w:val="20"/>
        </w:rPr>
        <w:t>) = 1.36357</w:t>
      </w:r>
    </w:p>
    <w:p w14:paraId="5EA1487F" w14:textId="77777777" w:rsidR="000E660D" w:rsidRPr="00F21269" w:rsidRDefault="000E660D" w:rsidP="008778D3">
      <w:pPr>
        <w:widowControl w:val="0"/>
        <w:tabs>
          <w:tab w:val="left" w:pos="810"/>
        </w:tabs>
        <w:spacing w:after="0" w:line="240" w:lineRule="auto"/>
        <w:ind w:left="360"/>
        <w:rPr>
          <w:sz w:val="20"/>
          <w:szCs w:val="20"/>
        </w:rPr>
      </w:pPr>
    </w:p>
    <w:p w14:paraId="1F90220B" w14:textId="39E4F3B1" w:rsidR="00882260" w:rsidRPr="00816DDD" w:rsidRDefault="00956A63" w:rsidP="00B81FE3">
      <w:pPr>
        <w:widowControl w:val="0"/>
        <w:tabs>
          <w:tab w:val="left" w:pos="810"/>
        </w:tabs>
        <w:spacing w:after="0" w:line="240" w:lineRule="auto"/>
        <w:ind w:left="360" w:right="-486"/>
        <w:rPr>
          <w:b/>
          <w:szCs w:val="24"/>
        </w:rPr>
      </w:pPr>
      <w:r w:rsidRPr="00816DDD">
        <w:rPr>
          <w:b/>
          <w:szCs w:val="24"/>
        </w:rPr>
        <w:t>Forward contracts.</w:t>
      </w:r>
      <w:r w:rsidRPr="00816DDD">
        <w:rPr>
          <w:bCs/>
          <w:szCs w:val="24"/>
        </w:rPr>
        <w:t xml:space="preserve">  </w:t>
      </w:r>
      <w:r w:rsidR="003B67C0" w:rsidRPr="00816DDD">
        <w:rPr>
          <w:bCs/>
          <w:szCs w:val="24"/>
        </w:rPr>
        <w:t>This</w:t>
      </w:r>
      <w:r w:rsidR="000D58F3" w:rsidRPr="00816DDD">
        <w:rPr>
          <w:bCs/>
          <w:szCs w:val="24"/>
        </w:rPr>
        <w:t xml:space="preserve"> </w:t>
      </w:r>
      <w:r w:rsidR="00884489" w:rsidRPr="00816DDD">
        <w:rPr>
          <w:rFonts w:hint="cs"/>
          <w:bCs/>
          <w:szCs w:val="24"/>
        </w:rPr>
        <w:t>is an agreement</w:t>
      </w:r>
      <w:r w:rsidR="00884489" w:rsidRPr="00816DDD">
        <w:rPr>
          <w:rFonts w:hint="cs"/>
          <w:szCs w:val="24"/>
        </w:rPr>
        <w:t xml:space="preserve"> between two counterparties to exchange specified amounts of two currencies </w:t>
      </w:r>
      <w:r w:rsidR="00882260" w:rsidRPr="00816DDD">
        <w:rPr>
          <w:szCs w:val="24"/>
        </w:rPr>
        <w:t xml:space="preserve">on </w:t>
      </w:r>
      <w:r w:rsidR="00D52D0D" w:rsidRPr="00816DDD">
        <w:rPr>
          <w:szCs w:val="24"/>
        </w:rPr>
        <w:t>a</w:t>
      </w:r>
      <w:r w:rsidR="00882260" w:rsidRPr="00816DDD">
        <w:rPr>
          <w:szCs w:val="24"/>
        </w:rPr>
        <w:t xml:space="preserve"> settlement date </w:t>
      </w:r>
      <w:r w:rsidR="00884489" w:rsidRPr="00816DDD">
        <w:rPr>
          <w:rFonts w:hint="cs"/>
          <w:szCs w:val="24"/>
        </w:rPr>
        <w:t>in the future at a forward rate agreed on today.  Forward trades are usually settled in 1 month, 3 months, 6 months, 9 months, or 12 months, but this period can be for just a few days or up to 10 years in the case of the four major currency pairs</w:t>
      </w:r>
      <w:r w:rsidR="00543953" w:rsidRPr="00816DDD">
        <w:rPr>
          <w:szCs w:val="24"/>
        </w:rPr>
        <w:t xml:space="preserve">.  These pairs </w:t>
      </w:r>
      <w:r w:rsidR="00884489" w:rsidRPr="00816DDD">
        <w:rPr>
          <w:rFonts w:hint="cs"/>
          <w:szCs w:val="24"/>
        </w:rPr>
        <w:t xml:space="preserve">include </w:t>
      </w:r>
      <w:r w:rsidR="00884489" w:rsidRPr="00816DDD">
        <w:rPr>
          <w:rFonts w:hint="cs"/>
          <w:szCs w:val="24"/>
          <w:shd w:val="clear" w:color="auto" w:fill="FFFFFF"/>
        </w:rPr>
        <w:t>the USD and EUR, USD and JPY, USD and GBP, and USD and CHF.</w:t>
      </w:r>
    </w:p>
    <w:p w14:paraId="21F7E1CD" w14:textId="77777777" w:rsidR="00882260" w:rsidRPr="00816DDD" w:rsidRDefault="00882260" w:rsidP="008778D3">
      <w:pPr>
        <w:widowControl w:val="0"/>
        <w:tabs>
          <w:tab w:val="left" w:pos="810"/>
        </w:tabs>
        <w:spacing w:after="0" w:line="240" w:lineRule="auto"/>
        <w:ind w:left="360" w:right="-270"/>
        <w:rPr>
          <w:szCs w:val="24"/>
          <w:shd w:val="clear" w:color="auto" w:fill="FFFFFF"/>
        </w:rPr>
      </w:pPr>
    </w:p>
    <w:p w14:paraId="548F9ABA" w14:textId="34D85BBF" w:rsidR="00884489" w:rsidRPr="00816DDD" w:rsidRDefault="00884489" w:rsidP="00A722B2">
      <w:pPr>
        <w:widowControl w:val="0"/>
        <w:tabs>
          <w:tab w:val="left" w:pos="810"/>
        </w:tabs>
        <w:spacing w:after="0" w:line="240" w:lineRule="auto"/>
        <w:ind w:left="360" w:right="-36"/>
        <w:rPr>
          <w:szCs w:val="24"/>
          <w:shd w:val="clear" w:color="auto" w:fill="FFFFFF"/>
        </w:rPr>
      </w:pPr>
      <w:r w:rsidRPr="00816DDD">
        <w:rPr>
          <w:rFonts w:hint="cs"/>
          <w:szCs w:val="24"/>
        </w:rPr>
        <w:t xml:space="preserve">Forward contracts are </w:t>
      </w:r>
      <w:r w:rsidR="002A0C97" w:rsidRPr="00816DDD">
        <w:rPr>
          <w:szCs w:val="24"/>
        </w:rPr>
        <w:t xml:space="preserve">sold </w:t>
      </w:r>
      <w:r w:rsidRPr="00816DDD">
        <w:rPr>
          <w:rFonts w:hint="cs"/>
          <w:szCs w:val="24"/>
        </w:rPr>
        <w:t xml:space="preserve">primarily by banks and do not typically require an upfront payment, but if a client’s creditworthiness is questioned, a cash deposit or other collateral may be </w:t>
      </w:r>
      <w:r w:rsidR="00882260" w:rsidRPr="00816DDD">
        <w:rPr>
          <w:szCs w:val="24"/>
        </w:rPr>
        <w:t>req</w:t>
      </w:r>
      <w:r w:rsidR="00F1407F" w:rsidRPr="00816DDD">
        <w:rPr>
          <w:szCs w:val="24"/>
        </w:rPr>
        <w:t>uired</w:t>
      </w:r>
      <w:r w:rsidRPr="00816DDD">
        <w:rPr>
          <w:rFonts w:hint="cs"/>
          <w:szCs w:val="24"/>
        </w:rPr>
        <w:t xml:space="preserve">.  </w:t>
      </w:r>
      <w:bookmarkStart w:id="10" w:name="_Hlk140477479"/>
      <w:r w:rsidRPr="00816DDD">
        <w:rPr>
          <w:rFonts w:hint="cs"/>
          <w:szCs w:val="24"/>
          <w:shd w:val="clear" w:color="auto" w:fill="FFFFFF"/>
        </w:rPr>
        <w:t xml:space="preserve">The forward contract sets out the currency pair, notional </w:t>
      </w:r>
      <w:r w:rsidRPr="00816DDD">
        <w:rPr>
          <w:szCs w:val="24"/>
          <w:shd w:val="clear" w:color="auto" w:fill="FFFFFF"/>
        </w:rPr>
        <w:t>principal</w:t>
      </w:r>
      <w:r w:rsidR="000D58F3" w:rsidRPr="00816DDD">
        <w:rPr>
          <w:szCs w:val="24"/>
          <w:shd w:val="clear" w:color="auto" w:fill="FFFFFF"/>
        </w:rPr>
        <w:t xml:space="preserve"> (i.e., </w:t>
      </w:r>
      <w:r w:rsidRPr="00816DDD">
        <w:rPr>
          <w:rFonts w:hint="cs"/>
          <w:szCs w:val="24"/>
          <w:shd w:val="clear" w:color="auto" w:fill="FFFFFF"/>
        </w:rPr>
        <w:t>the amount of currency being traded</w:t>
      </w:r>
      <w:r w:rsidR="000D58F3" w:rsidRPr="00816DDD">
        <w:rPr>
          <w:szCs w:val="24"/>
          <w:shd w:val="clear" w:color="auto" w:fill="FFFFFF"/>
        </w:rPr>
        <w:t>)</w:t>
      </w:r>
      <w:r w:rsidRPr="00816DDD">
        <w:rPr>
          <w:rFonts w:hint="cs"/>
          <w:szCs w:val="24"/>
          <w:shd w:val="clear" w:color="auto" w:fill="FFFFFF"/>
        </w:rPr>
        <w:t xml:space="preserve">, settlement date, and delivery rate </w:t>
      </w:r>
      <w:r w:rsidR="000D58F3" w:rsidRPr="00816DDD">
        <w:rPr>
          <w:szCs w:val="24"/>
          <w:shd w:val="clear" w:color="auto" w:fill="FFFFFF"/>
        </w:rPr>
        <w:t xml:space="preserve">(i.e., </w:t>
      </w:r>
      <w:r w:rsidRPr="00816DDD">
        <w:rPr>
          <w:rFonts w:hint="cs"/>
          <w:szCs w:val="24"/>
          <w:shd w:val="clear" w:color="auto" w:fill="FFFFFF"/>
        </w:rPr>
        <w:t>forward rate</w:t>
      </w:r>
      <w:r w:rsidR="000D58F3" w:rsidRPr="00816DDD">
        <w:rPr>
          <w:szCs w:val="24"/>
          <w:shd w:val="clear" w:color="auto" w:fill="FFFFFF"/>
        </w:rPr>
        <w:t>)</w:t>
      </w:r>
      <w:r w:rsidRPr="00816DDD">
        <w:rPr>
          <w:rFonts w:hint="cs"/>
          <w:szCs w:val="24"/>
          <w:shd w:val="clear" w:color="auto" w:fill="FFFFFF"/>
        </w:rPr>
        <w:t xml:space="preserve">.  </w:t>
      </w:r>
      <w:bookmarkEnd w:id="10"/>
      <w:r w:rsidRPr="00816DDD">
        <w:rPr>
          <w:rFonts w:hint="cs"/>
          <w:szCs w:val="24"/>
        </w:rPr>
        <w:t>Forward contracts do not have standardized terms, so they trade in the over-the-counter market and not on organized exchange</w:t>
      </w:r>
      <w:r w:rsidR="00385363" w:rsidRPr="00816DDD">
        <w:rPr>
          <w:szCs w:val="24"/>
        </w:rPr>
        <w:t>s</w:t>
      </w:r>
      <w:r w:rsidRPr="00816DDD">
        <w:rPr>
          <w:rFonts w:hint="cs"/>
          <w:szCs w:val="24"/>
        </w:rPr>
        <w:t xml:space="preserve">. </w:t>
      </w:r>
      <w:r w:rsidRPr="00816DDD">
        <w:rPr>
          <w:rFonts w:hint="cs"/>
          <w:szCs w:val="24"/>
          <w:shd w:val="clear" w:color="auto" w:fill="FFFFFF"/>
        </w:rPr>
        <w:t xml:space="preserve">The counterparties to these contracts are interested in </w:t>
      </w:r>
      <w:r w:rsidR="00882260" w:rsidRPr="00816DDD">
        <w:rPr>
          <w:szCs w:val="24"/>
          <w:shd w:val="clear" w:color="auto" w:fill="FFFFFF"/>
        </w:rPr>
        <w:t xml:space="preserve">either </w:t>
      </w:r>
      <w:r w:rsidRPr="00816DDD">
        <w:rPr>
          <w:rFonts w:hint="cs"/>
          <w:szCs w:val="24"/>
          <w:shd w:val="clear" w:color="auto" w:fill="FFFFFF"/>
        </w:rPr>
        <w:t>hedging a </w:t>
      </w:r>
      <w:hyperlink r:id="rId7" w:history="1">
        <w:r w:rsidRPr="00816DDD">
          <w:rPr>
            <w:rStyle w:val="Hyperlink"/>
            <w:rFonts w:hint="cs"/>
            <w:color w:val="auto"/>
            <w:szCs w:val="24"/>
            <w:u w:val="none"/>
            <w:shd w:val="clear" w:color="auto" w:fill="FFFFFF"/>
          </w:rPr>
          <w:t>foreign exchange</w:t>
        </w:r>
      </w:hyperlink>
      <w:r w:rsidRPr="00816DDD">
        <w:rPr>
          <w:rFonts w:hint="cs"/>
          <w:szCs w:val="24"/>
          <w:shd w:val="clear" w:color="auto" w:fill="FFFFFF"/>
        </w:rPr>
        <w:t> position or speculating on currency movements.</w:t>
      </w:r>
      <w:r w:rsidR="00FC4E13" w:rsidRPr="00816DDD">
        <w:rPr>
          <w:szCs w:val="24"/>
          <w:shd w:val="clear" w:color="auto" w:fill="FFFFFF"/>
        </w:rPr>
        <w:t xml:space="preserve">  The hedger locks in a specific forward rate</w:t>
      </w:r>
      <w:r w:rsidR="00AA0B27">
        <w:rPr>
          <w:szCs w:val="24"/>
          <w:shd w:val="clear" w:color="auto" w:fill="FFFFFF"/>
        </w:rPr>
        <w:t>,</w:t>
      </w:r>
      <w:r w:rsidR="00FC4E13" w:rsidRPr="00816DDD">
        <w:rPr>
          <w:szCs w:val="24"/>
          <w:shd w:val="clear" w:color="auto" w:fill="FFFFFF"/>
        </w:rPr>
        <w:t xml:space="preserve"> and the speculator attempts to profit from differences in the delivery rate and spot rate when the contract is settled.</w:t>
      </w:r>
    </w:p>
    <w:p w14:paraId="242FC6D6" w14:textId="77777777" w:rsidR="00884489" w:rsidRPr="00816DDD" w:rsidRDefault="00884489" w:rsidP="008778D3">
      <w:pPr>
        <w:widowControl w:val="0"/>
        <w:tabs>
          <w:tab w:val="left" w:pos="810"/>
        </w:tabs>
        <w:spacing w:after="0" w:line="240" w:lineRule="auto"/>
        <w:ind w:left="360"/>
        <w:rPr>
          <w:szCs w:val="24"/>
          <w:shd w:val="clear" w:color="auto" w:fill="FFFFFF"/>
        </w:rPr>
      </w:pPr>
    </w:p>
    <w:p w14:paraId="57EBBD7B" w14:textId="5A74363A" w:rsidR="00884489" w:rsidRPr="00816DDD" w:rsidRDefault="00884489" w:rsidP="00C115FE">
      <w:pPr>
        <w:widowControl w:val="0"/>
        <w:tabs>
          <w:tab w:val="left" w:pos="810"/>
        </w:tabs>
        <w:spacing w:after="0" w:line="240" w:lineRule="auto"/>
        <w:ind w:left="360" w:right="-216"/>
        <w:rPr>
          <w:szCs w:val="24"/>
        </w:rPr>
      </w:pPr>
      <w:r w:rsidRPr="00816DDD">
        <w:rPr>
          <w:rFonts w:hint="cs"/>
          <w:szCs w:val="24"/>
          <w:shd w:val="clear" w:color="auto" w:fill="FFFFFF"/>
        </w:rPr>
        <w:lastRenderedPageBreak/>
        <w:t xml:space="preserve">Forward contracts can be settled by 1) having the counterparties deliver the currency to each other or 2) </w:t>
      </w:r>
      <w:bookmarkStart w:id="11" w:name="_Hlk140479439"/>
      <w:r w:rsidRPr="00816DDD">
        <w:rPr>
          <w:rFonts w:hint="cs"/>
          <w:szCs w:val="24"/>
          <w:shd w:val="clear" w:color="auto" w:fill="FFFFFF"/>
        </w:rPr>
        <w:t xml:space="preserve">exchanging the difference between the delivery rate and the spot rate in cash when the contract is settled.  </w:t>
      </w:r>
      <w:bookmarkEnd w:id="11"/>
      <w:r w:rsidRPr="00816DDD">
        <w:rPr>
          <w:rFonts w:hint="cs"/>
          <w:szCs w:val="24"/>
          <w:shd w:val="clear" w:color="auto" w:fill="FFFFFF"/>
        </w:rPr>
        <w:t>For example, a</w:t>
      </w:r>
      <w:r w:rsidRPr="00816DDD">
        <w:rPr>
          <w:rFonts w:hint="cs"/>
          <w:szCs w:val="24"/>
        </w:rPr>
        <w:t xml:space="preserve"> Canadian exporter expects to receive USD 10 million in three months.  </w:t>
      </w:r>
      <w:bookmarkStart w:id="12" w:name="_Hlk140477252"/>
      <w:r w:rsidRPr="00816DDD">
        <w:rPr>
          <w:rFonts w:hint="cs"/>
          <w:szCs w:val="24"/>
        </w:rPr>
        <w:t>The company plans to convert USD into CAD at that time, so the exporter is exposed to exchange rate risk</w:t>
      </w:r>
      <w:r w:rsidR="00AA0B27">
        <w:rPr>
          <w:szCs w:val="24"/>
        </w:rPr>
        <w:t>,</w:t>
      </w:r>
      <w:r w:rsidRPr="00816DDD">
        <w:rPr>
          <w:rFonts w:hint="cs"/>
          <w:szCs w:val="24"/>
        </w:rPr>
        <w:t xml:space="preserve"> </w:t>
      </w:r>
      <w:r w:rsidR="00AA0B27">
        <w:rPr>
          <w:szCs w:val="24"/>
        </w:rPr>
        <w:t>and</w:t>
      </w:r>
      <w:r w:rsidRPr="00816DDD">
        <w:rPr>
          <w:rFonts w:hint="cs"/>
          <w:szCs w:val="24"/>
        </w:rPr>
        <w:t xml:space="preserve"> they decide to hedge. The exporter </w:t>
      </w:r>
      <w:r w:rsidR="000D58F3" w:rsidRPr="00816DDD">
        <w:rPr>
          <w:szCs w:val="24"/>
        </w:rPr>
        <w:t>enters</w:t>
      </w:r>
      <w:r w:rsidRPr="00816DDD">
        <w:rPr>
          <w:rFonts w:hint="cs"/>
          <w:szCs w:val="24"/>
        </w:rPr>
        <w:t xml:space="preserve"> a cash-settled currency forward contract to exchange 10 million USD for CAD after three months at a delivery rate of 1.2484 CAD/USD. </w:t>
      </w:r>
      <w:bookmarkEnd w:id="12"/>
      <w:r w:rsidRPr="00816DDD">
        <w:rPr>
          <w:rFonts w:hint="cs"/>
          <w:szCs w:val="24"/>
        </w:rPr>
        <w:t xml:space="preserve">This means it will </w:t>
      </w:r>
      <w:r w:rsidR="00B527B8" w:rsidRPr="00816DDD">
        <w:rPr>
          <w:szCs w:val="24"/>
        </w:rPr>
        <w:t xml:space="preserve">receive </w:t>
      </w:r>
      <w:r w:rsidRPr="00816DDD">
        <w:rPr>
          <w:rFonts w:hint="cs"/>
          <w:szCs w:val="24"/>
        </w:rPr>
        <w:t>CAD 12.484 million (</w:t>
      </w:r>
      <w:r w:rsidR="003B14AE" w:rsidRPr="00816DDD">
        <w:rPr>
          <w:szCs w:val="24"/>
        </w:rPr>
        <w:t xml:space="preserve">USD </w:t>
      </w:r>
      <w:r w:rsidRPr="00816DDD">
        <w:rPr>
          <w:rFonts w:hint="cs"/>
          <w:szCs w:val="24"/>
        </w:rPr>
        <w:t xml:space="preserve">10 million x 1.2484) after three months.  What if the spot rate falls to 1.1837 CAD/USD after three months?  If there were no forward </w:t>
      </w:r>
      <w:r w:rsidR="003E6E98">
        <w:rPr>
          <w:szCs w:val="24"/>
        </w:rPr>
        <w:t>contracts</w:t>
      </w:r>
      <w:r w:rsidRPr="00816DDD">
        <w:rPr>
          <w:rFonts w:hint="cs"/>
          <w:szCs w:val="24"/>
        </w:rPr>
        <w:t xml:space="preserve">, </w:t>
      </w:r>
      <w:bookmarkStart w:id="13" w:name="_Hlk140481440"/>
      <w:r w:rsidRPr="00816DDD">
        <w:rPr>
          <w:rFonts w:hint="cs"/>
          <w:szCs w:val="24"/>
        </w:rPr>
        <w:t>the exporter would receive CAD 11.837 million (</w:t>
      </w:r>
      <w:r w:rsidR="003B14AE" w:rsidRPr="00816DDD">
        <w:rPr>
          <w:szCs w:val="24"/>
        </w:rPr>
        <w:t xml:space="preserve">USD </w:t>
      </w:r>
      <w:r w:rsidRPr="00816DDD">
        <w:rPr>
          <w:rFonts w:hint="cs"/>
          <w:szCs w:val="24"/>
        </w:rPr>
        <w:t xml:space="preserve">10 million x 1.1837) by exchanging USD 10 million at the current spot rate.  </w:t>
      </w:r>
      <w:bookmarkEnd w:id="13"/>
      <w:r w:rsidRPr="00816DDD">
        <w:rPr>
          <w:rFonts w:hint="cs"/>
          <w:szCs w:val="24"/>
        </w:rPr>
        <w:t xml:space="preserve">Since there is a forward contract, the exporter </w:t>
      </w:r>
      <w:r w:rsidR="00FC4E13" w:rsidRPr="00816DDD">
        <w:rPr>
          <w:szCs w:val="24"/>
        </w:rPr>
        <w:t xml:space="preserve">or hedger </w:t>
      </w:r>
      <w:r w:rsidRPr="00816DDD">
        <w:rPr>
          <w:rFonts w:hint="cs"/>
          <w:szCs w:val="24"/>
        </w:rPr>
        <w:t>would receive CAD 12.484 million</w:t>
      </w:r>
      <w:r w:rsidR="00E02510" w:rsidRPr="00816DDD">
        <w:rPr>
          <w:szCs w:val="24"/>
        </w:rPr>
        <w:t xml:space="preserve"> from the other counterparty</w:t>
      </w:r>
      <w:r w:rsidR="00A367BE" w:rsidRPr="00816DDD">
        <w:rPr>
          <w:szCs w:val="24"/>
        </w:rPr>
        <w:t xml:space="preserve"> or speculator</w:t>
      </w:r>
      <w:r w:rsidR="00E02510" w:rsidRPr="00816DDD">
        <w:rPr>
          <w:szCs w:val="24"/>
        </w:rPr>
        <w:t xml:space="preserve">. The </w:t>
      </w:r>
      <w:r w:rsidR="00A367BE" w:rsidRPr="00816DDD">
        <w:rPr>
          <w:szCs w:val="24"/>
        </w:rPr>
        <w:t xml:space="preserve">other counterparty or speculator </w:t>
      </w:r>
      <w:r w:rsidR="00E02510" w:rsidRPr="00816DDD">
        <w:rPr>
          <w:szCs w:val="24"/>
        </w:rPr>
        <w:t>would receive CAD 11.837 from the</w:t>
      </w:r>
      <w:r w:rsidR="00A367BE" w:rsidRPr="00816DDD">
        <w:rPr>
          <w:szCs w:val="24"/>
        </w:rPr>
        <w:t xml:space="preserve"> exporter or hedger</w:t>
      </w:r>
      <w:r w:rsidR="00AA0B27">
        <w:rPr>
          <w:szCs w:val="24"/>
        </w:rPr>
        <w:t>,</w:t>
      </w:r>
      <w:r w:rsidR="00A367BE" w:rsidRPr="00816DDD">
        <w:rPr>
          <w:szCs w:val="24"/>
        </w:rPr>
        <w:t xml:space="preserve"> losing CAD 0.647 (CAD 11.837 – CAD 12.484) on the transaction.</w:t>
      </w:r>
    </w:p>
    <w:p w14:paraId="09D10B4D" w14:textId="77777777" w:rsidR="00884489" w:rsidRPr="00816DDD" w:rsidRDefault="00884489" w:rsidP="008778D3">
      <w:pPr>
        <w:widowControl w:val="0"/>
        <w:tabs>
          <w:tab w:val="left" w:pos="810"/>
        </w:tabs>
        <w:spacing w:after="0" w:line="240" w:lineRule="auto"/>
        <w:ind w:left="360"/>
        <w:rPr>
          <w:szCs w:val="24"/>
        </w:rPr>
      </w:pPr>
    </w:p>
    <w:p w14:paraId="33AB46DD" w14:textId="76A9B526" w:rsidR="00884489" w:rsidRPr="00816DDD" w:rsidRDefault="003860D0" w:rsidP="008778D3">
      <w:pPr>
        <w:widowControl w:val="0"/>
        <w:tabs>
          <w:tab w:val="left" w:pos="810"/>
        </w:tabs>
        <w:spacing w:after="0" w:line="240" w:lineRule="auto"/>
        <w:ind w:left="360" w:right="-126"/>
        <w:rPr>
          <w:szCs w:val="24"/>
        </w:rPr>
      </w:pPr>
      <w:r w:rsidRPr="00816DDD">
        <w:rPr>
          <w:szCs w:val="24"/>
        </w:rPr>
        <w:t xml:space="preserve">What if the futures contract specifies that </w:t>
      </w:r>
      <w:r w:rsidR="00884489" w:rsidRPr="00816DDD">
        <w:rPr>
          <w:rFonts w:hint="cs"/>
          <w:szCs w:val="24"/>
        </w:rPr>
        <w:t>the other counterparty must compensate the exporter by making a cash payment equivalent to the difference between the delivery rate and the spot rate</w:t>
      </w:r>
      <w:r w:rsidR="003E6E98">
        <w:rPr>
          <w:szCs w:val="24"/>
        </w:rPr>
        <w:t>?</w:t>
      </w:r>
      <w:r w:rsidR="00884489" w:rsidRPr="00816DDD">
        <w:rPr>
          <w:rFonts w:hint="cs"/>
          <w:szCs w:val="24"/>
        </w:rPr>
        <w:t xml:space="preserve"> </w:t>
      </w:r>
      <w:bookmarkStart w:id="14" w:name="_Hlk140481897"/>
      <w:r w:rsidR="00884489" w:rsidRPr="00816DDD">
        <w:rPr>
          <w:rFonts w:hint="cs"/>
          <w:szCs w:val="24"/>
        </w:rPr>
        <w:t xml:space="preserve">The exporter will receive CAD 0.647 million (CAD 12.484 million – CAD 11.837 million) from the counterparty as a cash settlement. When the exporter converts the USD 10 million into CAD at the spot rate of 1.1837 CAD/USD, they will receive CAD 11.837 million instead of CAD 12.484 million, but the CAD 0.647 million received from the counterparty will increase their net proceeds to CAD 12.484 million.  This </w:t>
      </w:r>
      <w:r w:rsidRPr="00816DDD">
        <w:rPr>
          <w:szCs w:val="24"/>
        </w:rPr>
        <w:t xml:space="preserve">is </w:t>
      </w:r>
      <w:r w:rsidR="00884489" w:rsidRPr="00816DDD">
        <w:rPr>
          <w:rFonts w:hint="cs"/>
          <w:szCs w:val="24"/>
        </w:rPr>
        <w:t xml:space="preserve">the same amount that they would have received if they </w:t>
      </w:r>
      <w:r w:rsidR="00AA0B27">
        <w:rPr>
          <w:szCs w:val="24"/>
        </w:rPr>
        <w:t>had taken</w:t>
      </w:r>
      <w:r w:rsidR="00884489" w:rsidRPr="00816DDD">
        <w:rPr>
          <w:rFonts w:hint="cs"/>
          <w:szCs w:val="24"/>
        </w:rPr>
        <w:t xml:space="preserve"> delivery of the currency.  </w:t>
      </w:r>
      <w:bookmarkEnd w:id="14"/>
      <w:r w:rsidR="00884489" w:rsidRPr="00816DDD">
        <w:rPr>
          <w:rFonts w:hint="cs"/>
          <w:szCs w:val="24"/>
        </w:rPr>
        <w:t>If the USD instead strengthened to 1.2534 CAD/USD, then the exporter would have to make a payment of CAD 0.050 million (</w:t>
      </w:r>
      <w:r w:rsidR="003B14AE" w:rsidRPr="00816DDD">
        <w:rPr>
          <w:szCs w:val="24"/>
        </w:rPr>
        <w:t xml:space="preserve">USD </w:t>
      </w:r>
      <w:r w:rsidR="00884489" w:rsidRPr="00816DDD">
        <w:rPr>
          <w:rFonts w:hint="cs"/>
          <w:szCs w:val="24"/>
        </w:rPr>
        <w:t xml:space="preserve">10 million x 1.2534 – </w:t>
      </w:r>
      <w:r w:rsidR="003B14AE" w:rsidRPr="00816DDD">
        <w:rPr>
          <w:szCs w:val="24"/>
        </w:rPr>
        <w:t xml:space="preserve">USD </w:t>
      </w:r>
      <w:r w:rsidR="00884489" w:rsidRPr="00816DDD">
        <w:rPr>
          <w:rFonts w:hint="cs"/>
          <w:szCs w:val="24"/>
        </w:rPr>
        <w:t xml:space="preserve">10 million x 1.2484) to the counterparty.  When the exporter converts </w:t>
      </w:r>
      <w:r w:rsidR="005A6781" w:rsidRPr="00816DDD">
        <w:rPr>
          <w:szCs w:val="24"/>
        </w:rPr>
        <w:t>USD</w:t>
      </w:r>
      <w:r w:rsidR="00884489" w:rsidRPr="00816DDD">
        <w:rPr>
          <w:rFonts w:hint="cs"/>
          <w:szCs w:val="24"/>
        </w:rPr>
        <w:t xml:space="preserve"> 10 million into CAD at the spot rate of 1.2534 CAD/USD, it will receive </w:t>
      </w:r>
      <w:r w:rsidR="00D52D0D" w:rsidRPr="00816DDD">
        <w:rPr>
          <w:szCs w:val="24"/>
        </w:rPr>
        <w:t xml:space="preserve">CAD </w:t>
      </w:r>
      <w:r w:rsidR="00884489" w:rsidRPr="00816DDD">
        <w:rPr>
          <w:rFonts w:hint="cs"/>
          <w:szCs w:val="24"/>
        </w:rPr>
        <w:t>12.534 million, but the CAD 0.050 million paid to the counterpart</w:t>
      </w:r>
      <w:r w:rsidR="00E02510" w:rsidRPr="00816DDD">
        <w:rPr>
          <w:szCs w:val="24"/>
        </w:rPr>
        <w:t>y</w:t>
      </w:r>
      <w:r w:rsidR="00884489" w:rsidRPr="00816DDD">
        <w:rPr>
          <w:rFonts w:hint="cs"/>
          <w:szCs w:val="24"/>
        </w:rPr>
        <w:t xml:space="preserve"> would reduce its net proceeds to CAD 12.484 million.  Regardless of the changes in the exchange rate, the exporter receives CAD 12.484 successfully hedging the transaction.  </w:t>
      </w:r>
    </w:p>
    <w:p w14:paraId="0D90AB4B" w14:textId="77777777" w:rsidR="0043567C" w:rsidRPr="00816DDD" w:rsidRDefault="0043567C" w:rsidP="000E660D">
      <w:pPr>
        <w:widowControl w:val="0"/>
        <w:spacing w:after="0" w:line="240" w:lineRule="auto"/>
        <w:rPr>
          <w:szCs w:val="24"/>
        </w:rPr>
      </w:pPr>
    </w:p>
    <w:p w14:paraId="0AF6B662" w14:textId="46F3A5A8" w:rsidR="0043567C" w:rsidRPr="00816DDD" w:rsidRDefault="0043567C" w:rsidP="000E660D">
      <w:pPr>
        <w:widowControl w:val="0"/>
        <w:spacing w:after="0" w:line="240" w:lineRule="auto"/>
        <w:rPr>
          <w:b/>
          <w:bCs/>
          <w:szCs w:val="24"/>
        </w:rPr>
      </w:pPr>
      <w:r w:rsidRPr="00816DDD">
        <w:rPr>
          <w:b/>
          <w:bCs/>
          <w:szCs w:val="24"/>
        </w:rPr>
        <w:t>Hedging</w:t>
      </w:r>
      <w:r w:rsidR="006E712E" w:rsidRPr="00816DDD">
        <w:rPr>
          <w:b/>
          <w:bCs/>
          <w:szCs w:val="24"/>
        </w:rPr>
        <w:t xml:space="preserve"> </w:t>
      </w:r>
      <w:r w:rsidRPr="00816DDD">
        <w:rPr>
          <w:b/>
          <w:bCs/>
          <w:szCs w:val="24"/>
        </w:rPr>
        <w:t>Using Swap Contracts</w:t>
      </w:r>
    </w:p>
    <w:p w14:paraId="778873BC" w14:textId="77777777" w:rsidR="00C16512" w:rsidRPr="00816DDD" w:rsidRDefault="00C16512" w:rsidP="00C16512">
      <w:pPr>
        <w:widowControl w:val="0"/>
        <w:spacing w:after="0" w:line="240" w:lineRule="auto"/>
        <w:ind w:left="360"/>
        <w:rPr>
          <w:b/>
          <w:szCs w:val="24"/>
        </w:rPr>
      </w:pPr>
    </w:p>
    <w:p w14:paraId="6D60BFA2" w14:textId="6926A467" w:rsidR="00C16512" w:rsidRPr="00816DDD" w:rsidRDefault="000C54EE" w:rsidP="00C16512">
      <w:pPr>
        <w:widowControl w:val="0"/>
        <w:spacing w:after="0" w:line="240" w:lineRule="auto"/>
        <w:rPr>
          <w:bCs/>
          <w:szCs w:val="24"/>
        </w:rPr>
      </w:pPr>
      <w:r w:rsidRPr="00816DDD">
        <w:rPr>
          <w:bCs/>
          <w:szCs w:val="24"/>
        </w:rPr>
        <w:t xml:space="preserve">Translation risk </w:t>
      </w:r>
      <w:r w:rsidR="00C16512" w:rsidRPr="00816DDD">
        <w:rPr>
          <w:bCs/>
          <w:szCs w:val="24"/>
        </w:rPr>
        <w:t>can be hedged using either foreign exchange swaps or currency swaps.</w:t>
      </w:r>
    </w:p>
    <w:p w14:paraId="4AC71EC1" w14:textId="77777777" w:rsidR="00C16512" w:rsidRPr="00816DDD" w:rsidRDefault="00C16512" w:rsidP="00C16512">
      <w:pPr>
        <w:widowControl w:val="0"/>
        <w:spacing w:after="0" w:line="240" w:lineRule="auto"/>
        <w:rPr>
          <w:b/>
          <w:szCs w:val="24"/>
        </w:rPr>
      </w:pPr>
    </w:p>
    <w:p w14:paraId="737E94D1" w14:textId="77777777" w:rsidR="000A6E3E" w:rsidRPr="00816DDD" w:rsidRDefault="00C16512" w:rsidP="00C16512">
      <w:pPr>
        <w:widowControl w:val="0"/>
        <w:spacing w:after="0" w:line="240" w:lineRule="auto"/>
        <w:ind w:left="360"/>
        <w:rPr>
          <w:szCs w:val="24"/>
        </w:rPr>
      </w:pPr>
      <w:r w:rsidRPr="00816DDD">
        <w:rPr>
          <w:rFonts w:hint="cs"/>
          <w:b/>
          <w:szCs w:val="24"/>
        </w:rPr>
        <w:t>Foreign exchange swaps.</w:t>
      </w:r>
      <w:r w:rsidRPr="00816DDD">
        <w:rPr>
          <w:rFonts w:hint="cs"/>
          <w:szCs w:val="24"/>
        </w:rPr>
        <w:t xml:space="preserve">  This is an agreement between two counterparties to borrow one currency and lend another on an initial date, and then return them at maturity.  In the first leg of the transaction, the equivalent amount of currency in their respective currencies is swapped at the spot rate.  In the second leg, these amounts are returned at the agreed-upon forward rate.</w:t>
      </w:r>
      <w:r w:rsidRPr="00816DDD">
        <w:rPr>
          <w:rFonts w:hint="cs"/>
          <w:b/>
          <w:szCs w:val="24"/>
        </w:rPr>
        <w:t xml:space="preserve">  </w:t>
      </w:r>
      <w:r w:rsidRPr="00816DDD">
        <w:rPr>
          <w:rFonts w:hint="cs"/>
          <w:szCs w:val="24"/>
        </w:rPr>
        <w:t xml:space="preserve">The amounts swapped serve as collateral for the lending agreement.  </w:t>
      </w:r>
    </w:p>
    <w:p w14:paraId="1BC16487" w14:textId="77777777" w:rsidR="000A6E3E" w:rsidRPr="00816DDD" w:rsidRDefault="000A6E3E" w:rsidP="00C16512">
      <w:pPr>
        <w:widowControl w:val="0"/>
        <w:spacing w:after="0" w:line="240" w:lineRule="auto"/>
        <w:ind w:left="360"/>
        <w:rPr>
          <w:szCs w:val="24"/>
        </w:rPr>
      </w:pPr>
    </w:p>
    <w:p w14:paraId="29DF975C" w14:textId="5A20148E" w:rsidR="00C16512" w:rsidRPr="00816DDD" w:rsidRDefault="00C16512" w:rsidP="00C16512">
      <w:pPr>
        <w:widowControl w:val="0"/>
        <w:spacing w:after="0" w:line="240" w:lineRule="auto"/>
        <w:ind w:left="360"/>
        <w:rPr>
          <w:szCs w:val="24"/>
        </w:rPr>
      </w:pPr>
      <w:r w:rsidRPr="00816DDD">
        <w:rPr>
          <w:rFonts w:hint="cs"/>
          <w:szCs w:val="24"/>
        </w:rPr>
        <w:t xml:space="preserve">For example, </w:t>
      </w:r>
      <w:bookmarkStart w:id="15" w:name="_Hlk140485677"/>
      <w:r w:rsidRPr="00816DDD">
        <w:rPr>
          <w:rFonts w:hint="cs"/>
          <w:szCs w:val="24"/>
        </w:rPr>
        <w:t xml:space="preserve">a Canadian company is planning to expand its operations in Europe and needs EUR.  A European company needs CAD to expand its operations in Canada.  The counterparties agree to swap 1,000,000 EUR.  The agreement has a maturity of six months with a spot rate of 1.5076 CAD/EUR and a forward rate of 1.4830 CAD/EUR.  The forward rate is lower as the CAD is expected to appreciate compared to the EUR over the next six months.  Initially, the Canadian company receives EUR 1,000,000 and pays CAD 1,507,600 (1 million x 1.5076).  At the maturity of the agreement in six months, the Canadian company pays EUR 1,000,000 and receives CAD 1,483,000 (1 million x 1.4830).  </w:t>
      </w:r>
    </w:p>
    <w:bookmarkEnd w:id="15"/>
    <w:p w14:paraId="01BE6EAE" w14:textId="77777777" w:rsidR="00C16512" w:rsidRPr="00816DDD" w:rsidRDefault="00C16512" w:rsidP="00C16512">
      <w:pPr>
        <w:widowControl w:val="0"/>
        <w:spacing w:after="0" w:line="240" w:lineRule="auto"/>
        <w:ind w:left="360"/>
        <w:rPr>
          <w:szCs w:val="24"/>
        </w:rPr>
      </w:pPr>
    </w:p>
    <w:p w14:paraId="01A8BCEA" w14:textId="2BE72E6E" w:rsidR="00C16512" w:rsidRPr="00816DDD" w:rsidRDefault="00C16512" w:rsidP="003A5113">
      <w:pPr>
        <w:widowControl w:val="0"/>
        <w:spacing w:after="0" w:line="240" w:lineRule="auto"/>
        <w:ind w:left="360" w:right="-306"/>
        <w:rPr>
          <w:szCs w:val="24"/>
        </w:rPr>
      </w:pPr>
      <w:r w:rsidRPr="00816DDD">
        <w:rPr>
          <w:rFonts w:hint="cs"/>
          <w:szCs w:val="24"/>
        </w:rPr>
        <w:t xml:space="preserve">Foreign exchange swaps vary in length from one day to several months.  Like forward contracts, they allow companies to lock in the forward rate to hedge foreign exchange risk.  They </w:t>
      </w:r>
      <w:r w:rsidR="0013387A">
        <w:rPr>
          <w:szCs w:val="24"/>
        </w:rPr>
        <w:t>will also enable</w:t>
      </w:r>
      <w:r w:rsidRPr="00816DDD">
        <w:rPr>
          <w:rFonts w:hint="cs"/>
          <w:szCs w:val="24"/>
        </w:rPr>
        <w:t xml:space="preserve"> them to secure short-term loans in a foreign currency at a more favourable rate </w:t>
      </w:r>
      <w:r w:rsidR="003A5113" w:rsidRPr="00816DDD">
        <w:rPr>
          <w:szCs w:val="24"/>
        </w:rPr>
        <w:t xml:space="preserve">or with less regulation </w:t>
      </w:r>
      <w:r w:rsidRPr="00816DDD">
        <w:rPr>
          <w:rFonts w:hint="cs"/>
          <w:szCs w:val="24"/>
        </w:rPr>
        <w:t xml:space="preserve">than if they borrowed </w:t>
      </w:r>
      <w:proofErr w:type="gramStart"/>
      <w:r w:rsidRPr="00816DDD">
        <w:rPr>
          <w:rFonts w:hint="cs"/>
          <w:szCs w:val="24"/>
        </w:rPr>
        <w:t>in</w:t>
      </w:r>
      <w:proofErr w:type="gramEnd"/>
      <w:r w:rsidRPr="00816DDD">
        <w:rPr>
          <w:rFonts w:hint="cs"/>
          <w:szCs w:val="24"/>
        </w:rPr>
        <w:t xml:space="preserve"> the foreign market themselves. The counterparties can first raise capital in their own countries at </w:t>
      </w:r>
      <w:r w:rsidR="00AA0B27">
        <w:rPr>
          <w:szCs w:val="24"/>
        </w:rPr>
        <w:t>a lower</w:t>
      </w:r>
      <w:r w:rsidRPr="00816DDD">
        <w:rPr>
          <w:rFonts w:hint="cs"/>
          <w:szCs w:val="24"/>
        </w:rPr>
        <w:t xml:space="preserve"> rate and then swap the funds.  </w:t>
      </w:r>
    </w:p>
    <w:p w14:paraId="41641D39" w14:textId="77777777" w:rsidR="00C16512" w:rsidRPr="00816DDD" w:rsidRDefault="00C16512" w:rsidP="00C16512">
      <w:pPr>
        <w:widowControl w:val="0"/>
        <w:spacing w:after="0" w:line="240" w:lineRule="auto"/>
        <w:ind w:left="360"/>
        <w:rPr>
          <w:b/>
          <w:szCs w:val="24"/>
        </w:rPr>
      </w:pPr>
    </w:p>
    <w:p w14:paraId="38C1F7BB" w14:textId="39C01E00" w:rsidR="00C16512" w:rsidRPr="00816DDD" w:rsidRDefault="00C16512" w:rsidP="00C16512">
      <w:pPr>
        <w:widowControl w:val="0"/>
        <w:spacing w:after="0" w:line="240" w:lineRule="auto"/>
        <w:ind w:left="360"/>
        <w:rPr>
          <w:szCs w:val="24"/>
        </w:rPr>
      </w:pPr>
      <w:r w:rsidRPr="00816DDD">
        <w:rPr>
          <w:rFonts w:hint="cs"/>
          <w:b/>
          <w:szCs w:val="24"/>
        </w:rPr>
        <w:t xml:space="preserve">Currency swaps. </w:t>
      </w:r>
      <w:r w:rsidRPr="00816DDD">
        <w:rPr>
          <w:rFonts w:hint="cs"/>
          <w:szCs w:val="24"/>
        </w:rPr>
        <w:t xml:space="preserve"> Like foreign exchange swaps, the two counterparties agree to exchange principal amounts in different currencies for a period and then repay them at an agreed-upon forward rate at maturity.  With currency swaps, the counterparties also agree to exchange interest payments in different currencies for the same period.  Both counterparties could pay either a fixed or floating rate, or one may pay a fixed rate while the other pays a floating rate.  The counterparties use these agreements to hedge foreign exchange risk on both the principal and interest</w:t>
      </w:r>
      <w:r w:rsidR="00112A3C" w:rsidRPr="00816DDD">
        <w:rPr>
          <w:szCs w:val="24"/>
        </w:rPr>
        <w:t>.</w:t>
      </w:r>
      <w:r w:rsidRPr="00816DDD">
        <w:rPr>
          <w:rFonts w:hint="cs"/>
          <w:szCs w:val="24"/>
        </w:rPr>
        <w:t xml:space="preserve"> </w:t>
      </w:r>
    </w:p>
    <w:p w14:paraId="72960554" w14:textId="77777777" w:rsidR="00413AF3" w:rsidRPr="00816DDD" w:rsidRDefault="00413AF3" w:rsidP="000E660D">
      <w:pPr>
        <w:widowControl w:val="0"/>
        <w:spacing w:after="0" w:line="240" w:lineRule="auto"/>
        <w:rPr>
          <w:b/>
          <w:bCs/>
          <w:szCs w:val="24"/>
        </w:rPr>
      </w:pPr>
    </w:p>
    <w:p w14:paraId="2F98D2F1" w14:textId="1177FFD2" w:rsidR="002A0C97" w:rsidRPr="00816DDD" w:rsidRDefault="002A0C97" w:rsidP="009B0D22">
      <w:pPr>
        <w:widowControl w:val="0"/>
        <w:spacing w:after="0" w:line="240" w:lineRule="auto"/>
        <w:ind w:right="-126"/>
        <w:rPr>
          <w:szCs w:val="24"/>
        </w:rPr>
      </w:pPr>
      <w:r w:rsidRPr="00816DDD">
        <w:rPr>
          <w:szCs w:val="24"/>
        </w:rPr>
        <w:t xml:space="preserve">Like forward contracts, swap contracts trade over the counter </w:t>
      </w:r>
      <w:r w:rsidR="00E331A0" w:rsidRPr="00816DDD">
        <w:rPr>
          <w:szCs w:val="24"/>
        </w:rPr>
        <w:t>instead of</w:t>
      </w:r>
      <w:r w:rsidR="00385363" w:rsidRPr="00816DDD">
        <w:rPr>
          <w:szCs w:val="24"/>
        </w:rPr>
        <w:t xml:space="preserve"> </w:t>
      </w:r>
      <w:r w:rsidR="00E331A0" w:rsidRPr="00816DDD">
        <w:rPr>
          <w:szCs w:val="24"/>
        </w:rPr>
        <w:t xml:space="preserve">through </w:t>
      </w:r>
      <w:r w:rsidRPr="00816DDD">
        <w:rPr>
          <w:szCs w:val="24"/>
        </w:rPr>
        <w:t>organized exchange</w:t>
      </w:r>
      <w:r w:rsidR="00E331A0" w:rsidRPr="00816DDD">
        <w:rPr>
          <w:szCs w:val="24"/>
        </w:rPr>
        <w:t>s</w:t>
      </w:r>
      <w:r w:rsidR="00D235B9">
        <w:rPr>
          <w:szCs w:val="24"/>
        </w:rPr>
        <w:t>,</w:t>
      </w:r>
      <w:r w:rsidRPr="00816DDD">
        <w:rPr>
          <w:szCs w:val="24"/>
        </w:rPr>
        <w:t xml:space="preserve"> </w:t>
      </w:r>
      <w:r w:rsidR="00E331A0" w:rsidRPr="00816DDD">
        <w:rPr>
          <w:szCs w:val="24"/>
        </w:rPr>
        <w:t>as</w:t>
      </w:r>
      <w:r w:rsidR="00385363" w:rsidRPr="00816DDD">
        <w:rPr>
          <w:szCs w:val="24"/>
        </w:rPr>
        <w:t xml:space="preserve"> </w:t>
      </w:r>
      <w:r w:rsidRPr="00816DDD">
        <w:rPr>
          <w:szCs w:val="24"/>
        </w:rPr>
        <w:t xml:space="preserve">the contracts are not </w:t>
      </w:r>
      <w:r w:rsidR="00645A7B" w:rsidRPr="00816DDD">
        <w:rPr>
          <w:szCs w:val="24"/>
        </w:rPr>
        <w:t xml:space="preserve">sufficiently </w:t>
      </w:r>
      <w:r w:rsidRPr="00816DDD">
        <w:rPr>
          <w:szCs w:val="24"/>
        </w:rPr>
        <w:t xml:space="preserve">standardized.  </w:t>
      </w:r>
      <w:bookmarkStart w:id="16" w:name="_Hlk140489329"/>
      <w:r w:rsidR="00385363" w:rsidRPr="00816DDD">
        <w:rPr>
          <w:szCs w:val="24"/>
        </w:rPr>
        <w:t xml:space="preserve">A company wanting to enter a swap agreement approaches a dealer who takes the other side of the agreement.  The </w:t>
      </w:r>
      <w:r w:rsidR="009B0D22" w:rsidRPr="00816DDD">
        <w:rPr>
          <w:szCs w:val="24"/>
        </w:rPr>
        <w:t xml:space="preserve">swap </w:t>
      </w:r>
      <w:r w:rsidR="00385363" w:rsidRPr="00816DDD">
        <w:rPr>
          <w:szCs w:val="24"/>
        </w:rPr>
        <w:t xml:space="preserve">dealer then </w:t>
      </w:r>
      <w:r w:rsidR="00E331A0" w:rsidRPr="00816DDD">
        <w:rPr>
          <w:szCs w:val="24"/>
        </w:rPr>
        <w:t>tries</w:t>
      </w:r>
      <w:r w:rsidR="00385363" w:rsidRPr="00816DDD">
        <w:rPr>
          <w:szCs w:val="24"/>
        </w:rPr>
        <w:t xml:space="preserve"> to arrange an offsetting transaction </w:t>
      </w:r>
      <w:r w:rsidR="00E331A0" w:rsidRPr="00816DDD">
        <w:rPr>
          <w:szCs w:val="24"/>
        </w:rPr>
        <w:t xml:space="preserve">with </w:t>
      </w:r>
      <w:r w:rsidR="00385363" w:rsidRPr="00816DDD">
        <w:rPr>
          <w:szCs w:val="24"/>
        </w:rPr>
        <w:t>another company or deale</w:t>
      </w:r>
      <w:r w:rsidR="00E331A0" w:rsidRPr="00816DDD">
        <w:rPr>
          <w:szCs w:val="24"/>
        </w:rPr>
        <w:t xml:space="preserve">r and records it in their swap book.  Each dealer </w:t>
      </w:r>
      <w:r w:rsidR="009B0D22" w:rsidRPr="00816DDD">
        <w:rPr>
          <w:szCs w:val="24"/>
        </w:rPr>
        <w:t xml:space="preserve">attempts </w:t>
      </w:r>
      <w:r w:rsidR="00E331A0" w:rsidRPr="00816DDD">
        <w:rPr>
          <w:szCs w:val="24"/>
        </w:rPr>
        <w:t xml:space="preserve">to keep a balanced or “matched” book to minimize </w:t>
      </w:r>
      <w:r w:rsidR="009B0D22" w:rsidRPr="00816DDD">
        <w:rPr>
          <w:szCs w:val="24"/>
        </w:rPr>
        <w:t xml:space="preserve">their </w:t>
      </w:r>
      <w:r w:rsidR="00E331A0" w:rsidRPr="00816DDD">
        <w:rPr>
          <w:szCs w:val="24"/>
        </w:rPr>
        <w:t>risk</w:t>
      </w:r>
      <w:r w:rsidR="009B0D22" w:rsidRPr="00816DDD">
        <w:rPr>
          <w:szCs w:val="24"/>
        </w:rPr>
        <w:t xml:space="preserve"> exposure</w:t>
      </w:r>
      <w:r w:rsidR="00E331A0" w:rsidRPr="00816DDD">
        <w:rPr>
          <w:szCs w:val="24"/>
        </w:rPr>
        <w:t xml:space="preserve">.  </w:t>
      </w:r>
      <w:r w:rsidR="00385363" w:rsidRPr="00816DDD">
        <w:rPr>
          <w:szCs w:val="24"/>
        </w:rPr>
        <w:t>Banks are the</w:t>
      </w:r>
      <w:r w:rsidR="009B0D22" w:rsidRPr="00816DDD">
        <w:rPr>
          <w:szCs w:val="24"/>
        </w:rPr>
        <w:t xml:space="preserve"> primary swap </w:t>
      </w:r>
      <w:r w:rsidR="00385363" w:rsidRPr="00816DDD">
        <w:rPr>
          <w:szCs w:val="24"/>
        </w:rPr>
        <w:t xml:space="preserve">dealers in North America.  </w:t>
      </w:r>
    </w:p>
    <w:bookmarkEnd w:id="16"/>
    <w:p w14:paraId="207C8C2B" w14:textId="77777777" w:rsidR="002A0C97" w:rsidRPr="00816DDD" w:rsidRDefault="002A0C97" w:rsidP="000E660D">
      <w:pPr>
        <w:widowControl w:val="0"/>
        <w:spacing w:after="0" w:line="240" w:lineRule="auto"/>
        <w:rPr>
          <w:b/>
          <w:bCs/>
          <w:szCs w:val="24"/>
        </w:rPr>
      </w:pPr>
    </w:p>
    <w:p w14:paraId="338C1718" w14:textId="4C9902B4" w:rsidR="00413AF3" w:rsidRPr="00816DDD" w:rsidRDefault="00413AF3" w:rsidP="000E660D">
      <w:pPr>
        <w:widowControl w:val="0"/>
        <w:spacing w:after="0" w:line="240" w:lineRule="auto"/>
        <w:rPr>
          <w:b/>
          <w:bCs/>
          <w:szCs w:val="24"/>
        </w:rPr>
      </w:pPr>
      <w:r w:rsidRPr="00816DDD">
        <w:rPr>
          <w:b/>
          <w:bCs/>
          <w:szCs w:val="24"/>
        </w:rPr>
        <w:t>Hedging Using Option</w:t>
      </w:r>
      <w:r w:rsidR="00732CA4" w:rsidRPr="00816DDD">
        <w:rPr>
          <w:b/>
          <w:bCs/>
          <w:szCs w:val="24"/>
        </w:rPr>
        <w:t>s</w:t>
      </w:r>
      <w:r w:rsidRPr="00816DDD">
        <w:rPr>
          <w:b/>
          <w:bCs/>
          <w:szCs w:val="24"/>
        </w:rPr>
        <w:t xml:space="preserve"> Contracts</w:t>
      </w:r>
    </w:p>
    <w:p w14:paraId="771AB749" w14:textId="77777777" w:rsidR="009B0D22" w:rsidRPr="00816DDD" w:rsidRDefault="009B0D22" w:rsidP="009B0D22">
      <w:pPr>
        <w:widowControl w:val="0"/>
        <w:spacing w:after="0" w:line="240" w:lineRule="auto"/>
        <w:ind w:left="360"/>
        <w:rPr>
          <w:b/>
          <w:szCs w:val="24"/>
        </w:rPr>
      </w:pPr>
    </w:p>
    <w:p w14:paraId="1A5431F0" w14:textId="368FB199" w:rsidR="00112A3C" w:rsidRPr="00816DDD" w:rsidRDefault="009B0D22" w:rsidP="00AF0227">
      <w:pPr>
        <w:widowControl w:val="0"/>
        <w:spacing w:after="0" w:line="240" w:lineRule="auto"/>
        <w:ind w:right="-396"/>
        <w:rPr>
          <w:szCs w:val="24"/>
          <w:shd w:val="clear" w:color="auto" w:fill="FFFFFF"/>
        </w:rPr>
      </w:pPr>
      <w:r w:rsidRPr="00816DDD">
        <w:rPr>
          <w:rFonts w:hint="cs"/>
          <w:szCs w:val="24"/>
          <w:shd w:val="clear" w:color="auto" w:fill="FFFFFF"/>
        </w:rPr>
        <w:t xml:space="preserve">Call or put options give the buyer the right, but not the obligation, to buy or sell another currency at a </w:t>
      </w:r>
      <w:r w:rsidR="00381EB4">
        <w:rPr>
          <w:szCs w:val="24"/>
          <w:shd w:val="clear" w:color="auto" w:fill="FFFFFF"/>
        </w:rPr>
        <w:t>specific</w:t>
      </w:r>
      <w:r w:rsidRPr="00816DDD">
        <w:rPr>
          <w:rFonts w:hint="cs"/>
          <w:szCs w:val="24"/>
          <w:shd w:val="clear" w:color="auto" w:fill="FFFFFF"/>
        </w:rPr>
        <w:t xml:space="preserve"> exchange rate or strike price on or before the specified expiry date.  Currency options are used by companies to hedge exchange rate risk or speculate on currency movements.  </w:t>
      </w:r>
    </w:p>
    <w:p w14:paraId="1A0992E7" w14:textId="77777777" w:rsidR="00112A3C" w:rsidRPr="00816DDD" w:rsidRDefault="00112A3C" w:rsidP="009B0D22">
      <w:pPr>
        <w:widowControl w:val="0"/>
        <w:spacing w:after="0" w:line="240" w:lineRule="auto"/>
        <w:rPr>
          <w:szCs w:val="24"/>
          <w:shd w:val="clear" w:color="auto" w:fill="FFFFFF"/>
        </w:rPr>
      </w:pPr>
    </w:p>
    <w:p w14:paraId="6FF6A2A1" w14:textId="4DBAD356" w:rsidR="009B0D22" w:rsidRPr="00816DDD" w:rsidRDefault="009B0D22" w:rsidP="009B0D22">
      <w:pPr>
        <w:widowControl w:val="0"/>
        <w:spacing w:after="0" w:line="240" w:lineRule="auto"/>
        <w:rPr>
          <w:szCs w:val="24"/>
        </w:rPr>
      </w:pPr>
      <w:r w:rsidRPr="00816DDD">
        <w:rPr>
          <w:rFonts w:hint="cs"/>
          <w:szCs w:val="24"/>
        </w:rPr>
        <w:t xml:space="preserve">For example, </w:t>
      </w:r>
      <w:bookmarkStart w:id="17" w:name="_Hlk140495255"/>
      <w:r w:rsidRPr="00816DDD">
        <w:rPr>
          <w:rFonts w:hint="cs"/>
          <w:szCs w:val="24"/>
        </w:rPr>
        <w:t xml:space="preserve">a Canadian company agreed to buy two million shares of a British company for GBP 110 million with settlement in one month.  The spot price is CAD/GBP 1.7327, but the company is concerned </w:t>
      </w:r>
      <w:r w:rsidR="00AA0B27">
        <w:rPr>
          <w:szCs w:val="24"/>
        </w:rPr>
        <w:t xml:space="preserve">that </w:t>
      </w:r>
      <w:r w:rsidRPr="00816DDD">
        <w:rPr>
          <w:rFonts w:hint="cs"/>
          <w:szCs w:val="24"/>
        </w:rPr>
        <w:t>the CAD will depreciate against the GBP over the next month</w:t>
      </w:r>
      <w:r w:rsidR="00AA0B27">
        <w:rPr>
          <w:szCs w:val="24"/>
        </w:rPr>
        <w:t>,</w:t>
      </w:r>
      <w:r w:rsidRPr="00816DDD">
        <w:rPr>
          <w:rFonts w:hint="cs"/>
          <w:szCs w:val="24"/>
        </w:rPr>
        <w:t xml:space="preserve"> and it would have to pay more in CAD</w:t>
      </w:r>
      <w:r w:rsidRPr="00816DDD">
        <w:rPr>
          <w:szCs w:val="24"/>
        </w:rPr>
        <w:t xml:space="preserve">, </w:t>
      </w:r>
      <w:r w:rsidRPr="00816DDD">
        <w:rPr>
          <w:rFonts w:hint="cs"/>
          <w:szCs w:val="24"/>
        </w:rPr>
        <w:t>so it hedged the transaction.  The CFO bought a call option to purchase GBP 110 million at a strike price of CAD/GBP 1.7327 that expires in one month.  If the CAD did depreciate and the spot rate was CAD/GBP 1.7844 in one month, the Canadian company would pay CAD 196.284 million (110 million x 1.7844) to buy the shares</w:t>
      </w:r>
      <w:r w:rsidR="005C5CB3">
        <w:rPr>
          <w:szCs w:val="24"/>
        </w:rPr>
        <w:t xml:space="preserve"> </w:t>
      </w:r>
      <w:r w:rsidRPr="00816DDD">
        <w:rPr>
          <w:rFonts w:hint="cs"/>
          <w:szCs w:val="24"/>
        </w:rPr>
        <w:t>but would also exercise the call option and receive a payout of CAD 5.687 million (110 million x (1.7844 – 1.7327)).  The net cost of buying the shares would be CAD 190.597 million (CAD 196.284 million – CAD 5.687 million)</w:t>
      </w:r>
      <w:r w:rsidR="00AA0B27">
        <w:rPr>
          <w:szCs w:val="24"/>
        </w:rPr>
        <w:t>,</w:t>
      </w:r>
      <w:r w:rsidRPr="00816DDD">
        <w:rPr>
          <w:rFonts w:hint="cs"/>
          <w:szCs w:val="24"/>
        </w:rPr>
        <w:t xml:space="preserve"> which equals the CAD 190.597 million (110 million x 1.7327) they would have been paid initially if settlement </w:t>
      </w:r>
      <w:r w:rsidR="00AA0B27">
        <w:rPr>
          <w:szCs w:val="24"/>
        </w:rPr>
        <w:t>had</w:t>
      </w:r>
      <w:r w:rsidRPr="00816DDD">
        <w:rPr>
          <w:rFonts w:hint="cs"/>
          <w:szCs w:val="24"/>
        </w:rPr>
        <w:t xml:space="preserve"> not </w:t>
      </w:r>
      <w:r w:rsidR="00AA0B27">
        <w:rPr>
          <w:szCs w:val="24"/>
        </w:rPr>
        <w:t xml:space="preserve">been </w:t>
      </w:r>
      <w:r w:rsidRPr="00816DDD">
        <w:rPr>
          <w:rFonts w:hint="cs"/>
          <w:szCs w:val="24"/>
        </w:rPr>
        <w:t>deferred.  What if the CAD appreciated against the GBP and the spot rate was CAD/GBP 1.7100 in one month</w:t>
      </w:r>
      <w:r w:rsidR="003E6E98">
        <w:rPr>
          <w:szCs w:val="24"/>
        </w:rPr>
        <w:t>?</w:t>
      </w:r>
      <w:r w:rsidRPr="00816DDD">
        <w:rPr>
          <w:rFonts w:hint="cs"/>
          <w:szCs w:val="24"/>
        </w:rPr>
        <w:t xml:space="preserve">  The Canadian company would pay CAD 188.1 million (110 million x 1.7100) to buy the </w:t>
      </w:r>
      <w:proofErr w:type="gramStart"/>
      <w:r w:rsidRPr="00816DDD">
        <w:rPr>
          <w:rFonts w:hint="cs"/>
          <w:szCs w:val="24"/>
        </w:rPr>
        <w:t>shares</w:t>
      </w:r>
      <w:r w:rsidR="00AA0B27">
        <w:rPr>
          <w:szCs w:val="24"/>
        </w:rPr>
        <w:t>,</w:t>
      </w:r>
      <w:r w:rsidRPr="00816DDD">
        <w:rPr>
          <w:rFonts w:hint="cs"/>
          <w:szCs w:val="24"/>
        </w:rPr>
        <w:t xml:space="preserve"> but</w:t>
      </w:r>
      <w:proofErr w:type="gramEnd"/>
      <w:r w:rsidRPr="00816DDD">
        <w:rPr>
          <w:rFonts w:hint="cs"/>
          <w:szCs w:val="24"/>
        </w:rPr>
        <w:t xml:space="preserve"> would not exercise the options contract as it would not be profitable. The net cost of buying the shares would only be CAD 188.1 </w:t>
      </w:r>
      <w:r w:rsidR="005A6781" w:rsidRPr="00816DDD">
        <w:rPr>
          <w:szCs w:val="24"/>
        </w:rPr>
        <w:t>million,</w:t>
      </w:r>
      <w:r w:rsidRPr="00816DDD">
        <w:rPr>
          <w:rFonts w:hint="cs"/>
          <w:szCs w:val="24"/>
        </w:rPr>
        <w:t xml:space="preserve"> which is lower than CAD 190.597</w:t>
      </w:r>
      <w:r w:rsidR="00C02B85">
        <w:rPr>
          <w:szCs w:val="24"/>
        </w:rPr>
        <w:t xml:space="preserve"> million</w:t>
      </w:r>
      <w:r w:rsidRPr="00816DDD">
        <w:rPr>
          <w:rFonts w:hint="cs"/>
          <w:szCs w:val="24"/>
        </w:rPr>
        <w:t>.</w:t>
      </w:r>
    </w:p>
    <w:bookmarkEnd w:id="17"/>
    <w:p w14:paraId="63C9F751" w14:textId="77777777" w:rsidR="009B0D22" w:rsidRPr="00816DDD" w:rsidRDefault="009B0D22" w:rsidP="009B0D22">
      <w:pPr>
        <w:widowControl w:val="0"/>
        <w:spacing w:after="0" w:line="240" w:lineRule="auto"/>
        <w:rPr>
          <w:szCs w:val="24"/>
        </w:rPr>
      </w:pPr>
    </w:p>
    <w:p w14:paraId="5621CFF1" w14:textId="03167A3C" w:rsidR="009B0D22" w:rsidRPr="00816DDD" w:rsidRDefault="009B0D22" w:rsidP="009B0D22">
      <w:pPr>
        <w:widowControl w:val="0"/>
        <w:spacing w:after="0" w:line="240" w:lineRule="auto"/>
        <w:ind w:right="-90"/>
        <w:rPr>
          <w:szCs w:val="24"/>
        </w:rPr>
      </w:pPr>
      <w:r w:rsidRPr="00816DDD">
        <w:rPr>
          <w:rFonts w:hint="cs"/>
          <w:szCs w:val="24"/>
        </w:rPr>
        <w:t xml:space="preserve">The protection provided by call or put options is different from forward contracts.  In the example, the buyer of the call option is protected from a depreciating currency but still benefits if it appreciates.  Options </w:t>
      </w:r>
      <w:r w:rsidR="00AA0B27">
        <w:rPr>
          <w:szCs w:val="24"/>
        </w:rPr>
        <w:t>must only</w:t>
      </w:r>
      <w:r w:rsidRPr="00816DDD">
        <w:rPr>
          <w:rFonts w:hint="cs"/>
          <w:szCs w:val="24"/>
        </w:rPr>
        <w:t xml:space="preserve"> be exercised if they are “in the money</w:t>
      </w:r>
      <w:r w:rsidR="00AA0B27">
        <w:rPr>
          <w:szCs w:val="24"/>
        </w:rPr>
        <w:t>,</w:t>
      </w:r>
      <w:r w:rsidRPr="00816DDD">
        <w:rPr>
          <w:rFonts w:hint="cs"/>
          <w:szCs w:val="24"/>
        </w:rPr>
        <w:t xml:space="preserve">” which means the </w:t>
      </w:r>
      <w:r w:rsidRPr="00816DDD">
        <w:rPr>
          <w:rFonts w:hint="cs"/>
          <w:szCs w:val="24"/>
        </w:rPr>
        <w:lastRenderedPageBreak/>
        <w:t>buyer of the option</w:t>
      </w:r>
      <w:r w:rsidR="00732CA4" w:rsidRPr="00816DDD">
        <w:rPr>
          <w:szCs w:val="24"/>
        </w:rPr>
        <w:t>s</w:t>
      </w:r>
      <w:r w:rsidRPr="00816DDD">
        <w:rPr>
          <w:rFonts w:hint="cs"/>
          <w:szCs w:val="24"/>
        </w:rPr>
        <w:t xml:space="preserve"> makes a profit.  If the options are “out of the money,” the buyer will not exercise them.  Why would the other counterparty agree to write an option if they had to compensate the buyer if the exchange rate moved against them, but did not receive anything if the exchange rate moved in their favour?  The answer is options are not free.  Buyers must pay option writers a premium to fairly compensate them for having to pay out on some contracts</w:t>
      </w:r>
      <w:r w:rsidR="006F4DDD" w:rsidRPr="00816DDD">
        <w:rPr>
          <w:szCs w:val="24"/>
        </w:rPr>
        <w:t>.  Options writers make money when the premiums received exceed the payouts.</w:t>
      </w:r>
    </w:p>
    <w:p w14:paraId="6A333181" w14:textId="77777777" w:rsidR="009B0D22" w:rsidRPr="00816DDD" w:rsidRDefault="009B0D22" w:rsidP="009B0D22">
      <w:pPr>
        <w:widowControl w:val="0"/>
        <w:spacing w:after="0" w:line="240" w:lineRule="auto"/>
        <w:rPr>
          <w:sz w:val="20"/>
          <w:szCs w:val="20"/>
        </w:rPr>
      </w:pPr>
    </w:p>
    <w:p w14:paraId="48FF23B7" w14:textId="23777826" w:rsidR="009B0D22" w:rsidRPr="00816DDD" w:rsidRDefault="009B0D22" w:rsidP="0051511B">
      <w:pPr>
        <w:widowControl w:val="0"/>
        <w:spacing w:after="0" w:line="240" w:lineRule="auto"/>
        <w:ind w:right="-216"/>
        <w:rPr>
          <w:szCs w:val="24"/>
        </w:rPr>
      </w:pPr>
      <w:r w:rsidRPr="00816DDD">
        <w:rPr>
          <w:rFonts w:hint="cs"/>
          <w:szCs w:val="24"/>
        </w:rPr>
        <w:t>Consider an example of a put option.  A Canadian company sold an asset to a British company for GBP 10 million</w:t>
      </w:r>
      <w:r w:rsidR="00AA0B27">
        <w:rPr>
          <w:szCs w:val="24"/>
        </w:rPr>
        <w:t>,</w:t>
      </w:r>
      <w:r w:rsidRPr="00816DDD">
        <w:rPr>
          <w:rFonts w:hint="cs"/>
          <w:szCs w:val="24"/>
        </w:rPr>
        <w:t xml:space="preserve"> and the transaction will be settled in one month.  The spot price is CAD/GBP 1.7570, but the company is concerned </w:t>
      </w:r>
      <w:r w:rsidR="00AA0B27">
        <w:rPr>
          <w:szCs w:val="24"/>
        </w:rPr>
        <w:t xml:space="preserve">that </w:t>
      </w:r>
      <w:r w:rsidRPr="00816DDD">
        <w:rPr>
          <w:rFonts w:hint="cs"/>
          <w:szCs w:val="24"/>
        </w:rPr>
        <w:t>the GBP will depreciate over the next month</w:t>
      </w:r>
      <w:r w:rsidR="00AA0B27">
        <w:rPr>
          <w:szCs w:val="24"/>
        </w:rPr>
        <w:t>,</w:t>
      </w:r>
      <w:r w:rsidRPr="00816DDD">
        <w:rPr>
          <w:rFonts w:hint="cs"/>
          <w:szCs w:val="24"/>
        </w:rPr>
        <w:t xml:space="preserve"> and it will receive less when it converts the proceeds into CAD.  The CFO bought a put option to sell GBP 10 million at a strike price of CAD/GBP 1.7570 that expires in one month.  If the GBP did depreciate and the spot rate was CAD/GBP 1.7350 in one month, the Canadian company would convert the GBP into CAD 17.350 million (10 million x 1.7350) but would also exercise the put option and receive a payout of CAD 0.22 million (10 million x (1.7570 – 1.7350).  The net proceeds would be CAD 17.570 million (CAD 17.350 million + CAD 0.220 million)</w:t>
      </w:r>
      <w:r w:rsidR="00AA0B27">
        <w:rPr>
          <w:szCs w:val="24"/>
        </w:rPr>
        <w:t>,</w:t>
      </w:r>
      <w:r w:rsidRPr="00816DDD">
        <w:rPr>
          <w:rFonts w:hint="cs"/>
          <w:szCs w:val="24"/>
        </w:rPr>
        <w:t xml:space="preserve"> which equals the CAD 17.570 million (10 million x 1.7570) they would have received initially if payment was not deferred.</w:t>
      </w:r>
    </w:p>
    <w:p w14:paraId="75BB865B" w14:textId="77777777" w:rsidR="00413AF3" w:rsidRPr="00816DDD" w:rsidRDefault="00413AF3" w:rsidP="000E660D">
      <w:pPr>
        <w:widowControl w:val="0"/>
        <w:spacing w:after="0" w:line="240" w:lineRule="auto"/>
        <w:rPr>
          <w:b/>
          <w:bCs/>
          <w:sz w:val="20"/>
          <w:szCs w:val="20"/>
        </w:rPr>
      </w:pPr>
    </w:p>
    <w:p w14:paraId="4342F31F" w14:textId="67310518" w:rsidR="00413AF3" w:rsidRPr="00816DDD" w:rsidRDefault="00413AF3" w:rsidP="000E660D">
      <w:pPr>
        <w:widowControl w:val="0"/>
        <w:spacing w:after="0" w:line="240" w:lineRule="auto"/>
        <w:rPr>
          <w:b/>
          <w:bCs/>
          <w:szCs w:val="24"/>
        </w:rPr>
      </w:pPr>
      <w:r w:rsidRPr="00816DDD">
        <w:rPr>
          <w:b/>
          <w:bCs/>
          <w:szCs w:val="24"/>
        </w:rPr>
        <w:t>Natural Hedg</w:t>
      </w:r>
      <w:r w:rsidR="002B3FB6" w:rsidRPr="00816DDD">
        <w:rPr>
          <w:b/>
          <w:bCs/>
          <w:szCs w:val="24"/>
        </w:rPr>
        <w:t>es</w:t>
      </w:r>
    </w:p>
    <w:p w14:paraId="58C474C3" w14:textId="77777777" w:rsidR="009B0D22" w:rsidRPr="00816DDD" w:rsidRDefault="009B0D22" w:rsidP="009B0D22">
      <w:pPr>
        <w:widowControl w:val="0"/>
        <w:spacing w:after="0" w:line="240" w:lineRule="auto"/>
        <w:rPr>
          <w:sz w:val="20"/>
          <w:szCs w:val="20"/>
          <w:shd w:val="clear" w:color="auto" w:fill="FFFFFF"/>
        </w:rPr>
      </w:pPr>
    </w:p>
    <w:p w14:paraId="481C7B34" w14:textId="4F571849" w:rsidR="002B3FB6" w:rsidRPr="00816DDD" w:rsidRDefault="002B3FB6" w:rsidP="009A7EBD">
      <w:pPr>
        <w:widowControl w:val="0"/>
        <w:spacing w:after="0" w:line="240" w:lineRule="auto"/>
        <w:ind w:right="-396"/>
        <w:rPr>
          <w:szCs w:val="24"/>
          <w:shd w:val="clear" w:color="auto" w:fill="FFFFFF"/>
        </w:rPr>
      </w:pPr>
      <w:r w:rsidRPr="00816DDD">
        <w:rPr>
          <w:szCs w:val="24"/>
          <w:shd w:val="clear" w:color="auto" w:fill="FFFFFF"/>
        </w:rPr>
        <w:t xml:space="preserve">Managing a hedging program using derivative securities </w:t>
      </w:r>
      <w:r w:rsidR="009B0D22" w:rsidRPr="00816DDD">
        <w:rPr>
          <w:rFonts w:hint="cs"/>
          <w:szCs w:val="24"/>
          <w:shd w:val="clear" w:color="auto" w:fill="FFFFFF"/>
        </w:rPr>
        <w:t xml:space="preserve">like forward contracts </w:t>
      </w:r>
      <w:r w:rsidRPr="00816DDD">
        <w:rPr>
          <w:szCs w:val="24"/>
          <w:shd w:val="clear" w:color="auto" w:fill="FFFFFF"/>
        </w:rPr>
        <w:t>is expensive</w:t>
      </w:r>
      <w:r w:rsidR="00AA0B27">
        <w:rPr>
          <w:szCs w:val="24"/>
          <w:shd w:val="clear" w:color="auto" w:fill="FFFFFF"/>
        </w:rPr>
        <w:t>,</w:t>
      </w:r>
      <w:r w:rsidRPr="00816DDD">
        <w:rPr>
          <w:szCs w:val="24"/>
          <w:shd w:val="clear" w:color="auto" w:fill="FFFFFF"/>
        </w:rPr>
        <w:t xml:space="preserve"> and the instruments are often not available </w:t>
      </w:r>
      <w:r w:rsidR="00106D69" w:rsidRPr="00816DDD">
        <w:rPr>
          <w:szCs w:val="24"/>
          <w:shd w:val="clear" w:color="auto" w:fill="FFFFFF"/>
        </w:rPr>
        <w:t>fo</w:t>
      </w:r>
      <w:r w:rsidRPr="00816DDD">
        <w:rPr>
          <w:szCs w:val="24"/>
          <w:shd w:val="clear" w:color="auto" w:fill="FFFFFF"/>
        </w:rPr>
        <w:t>r longer periods</w:t>
      </w:r>
      <w:r w:rsidR="009B0D22" w:rsidRPr="00816DDD">
        <w:rPr>
          <w:rFonts w:hint="cs"/>
          <w:szCs w:val="24"/>
          <w:shd w:val="clear" w:color="auto" w:fill="FFFFFF"/>
        </w:rPr>
        <w:t xml:space="preserve">.  Some companies instead employ operational hedging strategies, or natural hedges, where they adjust their operations to </w:t>
      </w:r>
      <w:r w:rsidR="00106D69" w:rsidRPr="00816DDD">
        <w:rPr>
          <w:szCs w:val="24"/>
          <w:shd w:val="clear" w:color="auto" w:fill="FFFFFF"/>
        </w:rPr>
        <w:t>manage the risk</w:t>
      </w:r>
      <w:r w:rsidR="009B0D22" w:rsidRPr="00816DDD">
        <w:rPr>
          <w:rFonts w:hint="cs"/>
          <w:szCs w:val="24"/>
          <w:shd w:val="clear" w:color="auto" w:fill="FFFFFF"/>
        </w:rPr>
        <w:t xml:space="preserve">.  For example, if a Canadian company has significant </w:t>
      </w:r>
      <w:r w:rsidR="00106D69" w:rsidRPr="00816DDD">
        <w:rPr>
          <w:szCs w:val="24"/>
          <w:shd w:val="clear" w:color="auto" w:fill="FFFFFF"/>
        </w:rPr>
        <w:t xml:space="preserve">U.S. </w:t>
      </w:r>
      <w:r w:rsidR="009B0D22" w:rsidRPr="00816DDD">
        <w:rPr>
          <w:rFonts w:hint="cs"/>
          <w:szCs w:val="24"/>
          <w:shd w:val="clear" w:color="auto" w:fill="FFFFFF"/>
        </w:rPr>
        <w:t xml:space="preserve">sales, it </w:t>
      </w:r>
      <w:r w:rsidR="008F7037" w:rsidRPr="00816DDD">
        <w:rPr>
          <w:szCs w:val="24"/>
          <w:shd w:val="clear" w:color="auto" w:fill="FFFFFF"/>
        </w:rPr>
        <w:t>will</w:t>
      </w:r>
      <w:r w:rsidR="009B0D22" w:rsidRPr="00816DDD">
        <w:rPr>
          <w:rFonts w:hint="cs"/>
          <w:szCs w:val="24"/>
          <w:shd w:val="clear" w:color="auto" w:fill="FFFFFF"/>
        </w:rPr>
        <w:t xml:space="preserve"> experience a foreign exchange loss if the USD </w:t>
      </w:r>
      <w:r w:rsidR="004627AB">
        <w:rPr>
          <w:szCs w:val="24"/>
          <w:shd w:val="clear" w:color="auto" w:fill="FFFFFF"/>
        </w:rPr>
        <w:t>depreciates</w:t>
      </w:r>
      <w:r w:rsidR="009B0D22" w:rsidRPr="00816DDD">
        <w:rPr>
          <w:rFonts w:hint="cs"/>
          <w:szCs w:val="24"/>
          <w:shd w:val="clear" w:color="auto" w:fill="FFFFFF"/>
        </w:rPr>
        <w:t xml:space="preserve"> against the CAD.  Instead of buying a forward contract to hedge this risk, the Canadian company could adjust its operations to borrow an equal amount in USD instead of CAD.  </w:t>
      </w:r>
      <w:bookmarkStart w:id="18" w:name="_Hlk140413384"/>
      <w:r w:rsidR="009B0D22" w:rsidRPr="00816DDD">
        <w:rPr>
          <w:rFonts w:hint="cs"/>
          <w:szCs w:val="24"/>
          <w:shd w:val="clear" w:color="auto" w:fill="FFFFFF"/>
        </w:rPr>
        <w:t>A foreign exchange gain would be realized since it would take fewer CAD to pay back the USD loan.  The foreign exchange gain and loss cancel out</w:t>
      </w:r>
      <w:r w:rsidR="00AA0B27">
        <w:rPr>
          <w:szCs w:val="24"/>
          <w:shd w:val="clear" w:color="auto" w:fill="FFFFFF"/>
        </w:rPr>
        <w:t>,</w:t>
      </w:r>
      <w:r w:rsidR="009B0D22" w:rsidRPr="00816DDD">
        <w:rPr>
          <w:rFonts w:hint="cs"/>
          <w:szCs w:val="24"/>
          <w:shd w:val="clear" w:color="auto" w:fill="FFFFFF"/>
        </w:rPr>
        <w:t xml:space="preserve"> and the company would save any hedging costs.  </w:t>
      </w:r>
      <w:bookmarkEnd w:id="18"/>
      <w:r w:rsidR="009B0D22" w:rsidRPr="00816DDD">
        <w:rPr>
          <w:rFonts w:hint="cs"/>
          <w:szCs w:val="24"/>
          <w:shd w:val="clear" w:color="auto" w:fill="FFFFFF"/>
        </w:rPr>
        <w:t>This strategy is called cash flow matching</w:t>
      </w:r>
      <w:r w:rsidR="00441149" w:rsidRPr="00816DDD">
        <w:rPr>
          <w:szCs w:val="24"/>
          <w:shd w:val="clear" w:color="auto" w:fill="FFFFFF"/>
        </w:rPr>
        <w:t xml:space="preserve"> and</w:t>
      </w:r>
      <w:r w:rsidR="009B0D22" w:rsidRPr="00816DDD">
        <w:rPr>
          <w:rFonts w:hint="cs"/>
          <w:szCs w:val="24"/>
          <w:shd w:val="clear" w:color="auto" w:fill="FFFFFF"/>
        </w:rPr>
        <w:t xml:space="preserve"> involves matching all cash inflows in another currency with an equal amount of cash </w:t>
      </w:r>
      <w:r w:rsidRPr="00816DDD">
        <w:rPr>
          <w:szCs w:val="24"/>
          <w:shd w:val="clear" w:color="auto" w:fill="FFFFFF"/>
        </w:rPr>
        <w:t>out</w:t>
      </w:r>
      <w:r w:rsidR="009B0D22" w:rsidRPr="00816DDD">
        <w:rPr>
          <w:rFonts w:hint="cs"/>
          <w:szCs w:val="24"/>
          <w:shd w:val="clear" w:color="auto" w:fill="FFFFFF"/>
        </w:rPr>
        <w:t xml:space="preserve">flows in the same currency.  </w:t>
      </w:r>
    </w:p>
    <w:p w14:paraId="6A37D51B" w14:textId="77777777" w:rsidR="002B3FB6" w:rsidRPr="00816DDD" w:rsidRDefault="002B3FB6" w:rsidP="009B0D22">
      <w:pPr>
        <w:widowControl w:val="0"/>
        <w:spacing w:after="0" w:line="240" w:lineRule="auto"/>
        <w:rPr>
          <w:sz w:val="20"/>
          <w:szCs w:val="20"/>
          <w:shd w:val="clear" w:color="auto" w:fill="FFFFFF"/>
        </w:rPr>
      </w:pPr>
    </w:p>
    <w:p w14:paraId="06B9FEE0" w14:textId="42368421" w:rsidR="009B0D22" w:rsidRPr="00816DDD" w:rsidRDefault="009B0D22" w:rsidP="009B0D22">
      <w:pPr>
        <w:widowControl w:val="0"/>
        <w:spacing w:after="0" w:line="240" w:lineRule="auto"/>
        <w:rPr>
          <w:szCs w:val="24"/>
          <w:shd w:val="clear" w:color="auto" w:fill="FFFFFF"/>
        </w:rPr>
      </w:pPr>
      <w:r w:rsidRPr="00816DDD">
        <w:rPr>
          <w:rFonts w:hint="cs"/>
          <w:szCs w:val="24"/>
          <w:shd w:val="clear" w:color="auto" w:fill="FFFFFF"/>
        </w:rPr>
        <w:t xml:space="preserve">Parties to a contract can also </w:t>
      </w:r>
      <w:proofErr w:type="gramStart"/>
      <w:r w:rsidR="003E6E98" w:rsidRPr="00816DDD">
        <w:rPr>
          <w:szCs w:val="24"/>
          <w:shd w:val="clear" w:color="auto" w:fill="FFFFFF"/>
        </w:rPr>
        <w:t>enter</w:t>
      </w:r>
      <w:proofErr w:type="gramEnd"/>
      <w:r w:rsidRPr="00816DDD">
        <w:rPr>
          <w:rFonts w:hint="cs"/>
          <w:szCs w:val="24"/>
          <w:shd w:val="clear" w:color="auto" w:fill="FFFFFF"/>
        </w:rPr>
        <w:t xml:space="preserve"> a currency risk-sharing contract where the</w:t>
      </w:r>
      <w:r w:rsidR="008558F3" w:rsidRPr="00816DDD">
        <w:rPr>
          <w:szCs w:val="24"/>
          <w:shd w:val="clear" w:color="auto" w:fill="FFFFFF"/>
        </w:rPr>
        <w:t xml:space="preserve">y </w:t>
      </w:r>
      <w:r w:rsidRPr="00816DDD">
        <w:rPr>
          <w:rFonts w:hint="cs"/>
          <w:szCs w:val="24"/>
          <w:shd w:val="clear" w:color="auto" w:fill="FFFFFF"/>
        </w:rPr>
        <w:t xml:space="preserve">agree to share exchange rate risk if rates fall outside a </w:t>
      </w:r>
      <w:r w:rsidR="00381EB4">
        <w:rPr>
          <w:szCs w:val="24"/>
          <w:shd w:val="clear" w:color="auto" w:fill="FFFFFF"/>
        </w:rPr>
        <w:t>specific</w:t>
      </w:r>
      <w:r w:rsidRPr="00816DDD">
        <w:rPr>
          <w:rFonts w:hint="cs"/>
          <w:szCs w:val="24"/>
          <w:shd w:val="clear" w:color="auto" w:fill="FFFFFF"/>
        </w:rPr>
        <w:t xml:space="preserve"> range.  Remember</w:t>
      </w:r>
      <w:r w:rsidR="00AA0B27">
        <w:rPr>
          <w:szCs w:val="24"/>
          <w:shd w:val="clear" w:color="auto" w:fill="FFFFFF"/>
        </w:rPr>
        <w:t>,</w:t>
      </w:r>
      <w:r w:rsidRPr="00816DDD">
        <w:rPr>
          <w:rFonts w:hint="cs"/>
          <w:szCs w:val="24"/>
          <w:shd w:val="clear" w:color="auto" w:fill="FFFFFF"/>
        </w:rPr>
        <w:t xml:space="preserve"> currency trading is a zero-sum game, so the winner pay</w:t>
      </w:r>
      <w:r w:rsidR="00441149" w:rsidRPr="00816DDD">
        <w:rPr>
          <w:szCs w:val="24"/>
          <w:shd w:val="clear" w:color="auto" w:fill="FFFFFF"/>
        </w:rPr>
        <w:t>s</w:t>
      </w:r>
      <w:r w:rsidRPr="00816DDD">
        <w:rPr>
          <w:rFonts w:hint="cs"/>
          <w:szCs w:val="24"/>
          <w:shd w:val="clear" w:color="auto" w:fill="FFFFFF"/>
        </w:rPr>
        <w:t xml:space="preserve"> the loser and neither party</w:t>
      </w:r>
      <w:r w:rsidR="00441149" w:rsidRPr="00816DDD">
        <w:rPr>
          <w:szCs w:val="24"/>
          <w:shd w:val="clear" w:color="auto" w:fill="FFFFFF"/>
        </w:rPr>
        <w:t xml:space="preserve"> is better or </w:t>
      </w:r>
      <w:r w:rsidRPr="00816DDD">
        <w:rPr>
          <w:rFonts w:hint="cs"/>
          <w:szCs w:val="24"/>
          <w:shd w:val="clear" w:color="auto" w:fill="FFFFFF"/>
        </w:rPr>
        <w:t xml:space="preserve">worse off. </w:t>
      </w:r>
    </w:p>
    <w:p w14:paraId="2A327D30" w14:textId="77777777" w:rsidR="009A7EBD" w:rsidRDefault="009A7EBD" w:rsidP="00D72C5C">
      <w:pPr>
        <w:widowControl w:val="0"/>
        <w:spacing w:after="0" w:line="240" w:lineRule="auto"/>
        <w:rPr>
          <w:sz w:val="20"/>
          <w:szCs w:val="20"/>
        </w:rPr>
      </w:pPr>
    </w:p>
    <w:p w14:paraId="2D80E70B" w14:textId="77777777" w:rsidR="00493E37" w:rsidRPr="00816DDD" w:rsidRDefault="00493E37" w:rsidP="00D72C5C">
      <w:pPr>
        <w:widowControl w:val="0"/>
        <w:spacing w:after="0" w:line="240" w:lineRule="auto"/>
        <w:rPr>
          <w:sz w:val="20"/>
          <w:szCs w:val="20"/>
        </w:rPr>
      </w:pPr>
    </w:p>
    <w:p w14:paraId="7B4E3011" w14:textId="7A6992DB" w:rsidR="00A900B5" w:rsidRPr="00D235B9" w:rsidRDefault="007C3EF4" w:rsidP="000E660D">
      <w:pPr>
        <w:widowControl w:val="0"/>
        <w:numPr>
          <w:ilvl w:val="1"/>
          <w:numId w:val="4"/>
        </w:numPr>
        <w:spacing w:after="0" w:line="240" w:lineRule="auto"/>
        <w:contextualSpacing/>
        <w:rPr>
          <w:b/>
          <w:szCs w:val="24"/>
        </w:rPr>
      </w:pPr>
      <w:r w:rsidRPr="00816DDD">
        <w:rPr>
          <w:rFonts w:hint="cs"/>
          <w:b/>
          <w:szCs w:val="24"/>
        </w:rPr>
        <w:t xml:space="preserve">| </w:t>
      </w:r>
      <w:r w:rsidR="00807A8B" w:rsidRPr="00816DDD">
        <w:rPr>
          <w:b/>
          <w:szCs w:val="24"/>
        </w:rPr>
        <w:t xml:space="preserve">Hedging </w:t>
      </w:r>
      <w:r w:rsidRPr="00816DDD">
        <w:rPr>
          <w:rFonts w:hint="cs"/>
          <w:b/>
          <w:szCs w:val="24"/>
        </w:rPr>
        <w:t>Interest Rate Risk</w:t>
      </w:r>
    </w:p>
    <w:p w14:paraId="70B3BA8D" w14:textId="5EF3C007" w:rsidR="0051511B" w:rsidRDefault="003C4EC4" w:rsidP="000E660D">
      <w:pPr>
        <w:spacing w:after="0" w:line="240" w:lineRule="auto"/>
        <w:rPr>
          <w:b/>
          <w:bCs/>
          <w:szCs w:val="24"/>
        </w:rPr>
      </w:pPr>
      <w:r>
        <w:rPr>
          <w:szCs w:val="24"/>
        </w:rPr>
        <w:pict w14:anchorId="71262203">
          <v:rect id="_x0000_i1033" style="width:0;height:1.5pt" o:hralign="center" o:bullet="t" o:hrstd="t" o:hr="t" fillcolor="#a0a0a0" stroked="f"/>
        </w:pict>
      </w:r>
    </w:p>
    <w:p w14:paraId="451CA4DB" w14:textId="77777777" w:rsidR="0051511B" w:rsidRDefault="0051511B" w:rsidP="000E660D">
      <w:pPr>
        <w:spacing w:after="0" w:line="240" w:lineRule="auto"/>
        <w:rPr>
          <w:b/>
          <w:bCs/>
          <w:szCs w:val="24"/>
        </w:rPr>
      </w:pPr>
    </w:p>
    <w:p w14:paraId="0D8EE77C" w14:textId="481ABEF5" w:rsidR="005328BD" w:rsidRPr="00816DDD" w:rsidRDefault="005328BD" w:rsidP="000E660D">
      <w:pPr>
        <w:spacing w:after="0" w:line="240" w:lineRule="auto"/>
        <w:rPr>
          <w:b/>
          <w:bCs/>
          <w:szCs w:val="24"/>
        </w:rPr>
      </w:pPr>
      <w:r w:rsidRPr="00816DDD">
        <w:rPr>
          <w:b/>
          <w:bCs/>
          <w:szCs w:val="24"/>
        </w:rPr>
        <w:t>Interest Rate Swaps</w:t>
      </w:r>
    </w:p>
    <w:p w14:paraId="36759D8F" w14:textId="77777777" w:rsidR="009A7EBD" w:rsidRPr="00816DDD" w:rsidRDefault="009A7EBD" w:rsidP="000E660D">
      <w:pPr>
        <w:spacing w:after="0" w:line="240" w:lineRule="auto"/>
        <w:rPr>
          <w:b/>
          <w:bCs/>
          <w:szCs w:val="24"/>
        </w:rPr>
      </w:pPr>
    </w:p>
    <w:p w14:paraId="149A1D50" w14:textId="14462156" w:rsidR="003B4AB6" w:rsidRPr="00816DDD" w:rsidRDefault="003B4AB6" w:rsidP="009A7EBD">
      <w:pPr>
        <w:widowControl w:val="0"/>
        <w:spacing w:after="0" w:line="240" w:lineRule="auto"/>
        <w:rPr>
          <w:b/>
          <w:bCs/>
          <w:szCs w:val="24"/>
        </w:rPr>
      </w:pPr>
      <w:r w:rsidRPr="00816DDD">
        <w:rPr>
          <w:szCs w:val="24"/>
        </w:rPr>
        <w:t>An interest rate swap is a</w:t>
      </w:r>
      <w:r w:rsidR="00645A7B" w:rsidRPr="00816DDD">
        <w:rPr>
          <w:szCs w:val="24"/>
        </w:rPr>
        <w:t>n agreement</w:t>
      </w:r>
      <w:r w:rsidRPr="00816DDD">
        <w:rPr>
          <w:szCs w:val="24"/>
        </w:rPr>
        <w:t xml:space="preserve"> between tw</w:t>
      </w:r>
      <w:r w:rsidR="0039268D" w:rsidRPr="00816DDD">
        <w:rPr>
          <w:szCs w:val="24"/>
        </w:rPr>
        <w:t>o counter</w:t>
      </w:r>
      <w:r w:rsidRPr="00816DDD">
        <w:rPr>
          <w:szCs w:val="24"/>
        </w:rPr>
        <w:t>parties</w:t>
      </w:r>
      <w:r w:rsidR="00645A7B" w:rsidRPr="00816DDD">
        <w:rPr>
          <w:szCs w:val="24"/>
        </w:rPr>
        <w:t xml:space="preserve"> </w:t>
      </w:r>
      <w:r w:rsidRPr="00816DDD">
        <w:rPr>
          <w:szCs w:val="24"/>
        </w:rPr>
        <w:t>to exchange</w:t>
      </w:r>
      <w:r w:rsidR="00645A7B" w:rsidRPr="00816DDD">
        <w:rPr>
          <w:szCs w:val="24"/>
        </w:rPr>
        <w:t xml:space="preserve"> </w:t>
      </w:r>
      <w:r w:rsidRPr="00816DDD">
        <w:rPr>
          <w:szCs w:val="24"/>
        </w:rPr>
        <w:t xml:space="preserve">interest payments on </w:t>
      </w:r>
      <w:r w:rsidR="009A2D5F" w:rsidRPr="00816DDD">
        <w:rPr>
          <w:szCs w:val="24"/>
        </w:rPr>
        <w:t xml:space="preserve">different </w:t>
      </w:r>
      <w:r w:rsidRPr="00816DDD">
        <w:rPr>
          <w:szCs w:val="24"/>
        </w:rPr>
        <w:t>loan</w:t>
      </w:r>
      <w:r w:rsidR="009A2D5F" w:rsidRPr="00816DDD">
        <w:rPr>
          <w:szCs w:val="24"/>
        </w:rPr>
        <w:t>s</w:t>
      </w:r>
      <w:r w:rsidR="00854638" w:rsidRPr="00816DDD">
        <w:rPr>
          <w:szCs w:val="24"/>
        </w:rPr>
        <w:t xml:space="preserve"> to hedge against or speculate on interest rate movements</w:t>
      </w:r>
      <w:r w:rsidRPr="00816DDD">
        <w:rPr>
          <w:szCs w:val="24"/>
        </w:rPr>
        <w:t>.</w:t>
      </w:r>
      <w:r w:rsidR="006E4588" w:rsidRPr="00816DDD">
        <w:rPr>
          <w:szCs w:val="24"/>
        </w:rPr>
        <w:t xml:space="preserve"> </w:t>
      </w:r>
      <w:r w:rsidR="00412714" w:rsidRPr="00816DDD">
        <w:rPr>
          <w:szCs w:val="24"/>
        </w:rPr>
        <w:t xml:space="preserve"> </w:t>
      </w:r>
      <w:r w:rsidR="001F1B90" w:rsidRPr="00816DDD">
        <w:rPr>
          <w:szCs w:val="24"/>
        </w:rPr>
        <w:t>I</w:t>
      </w:r>
      <w:r w:rsidR="006E4588" w:rsidRPr="00816DDD">
        <w:rPr>
          <w:szCs w:val="24"/>
        </w:rPr>
        <w:t xml:space="preserve">nterest rate swaps </w:t>
      </w:r>
      <w:r w:rsidR="001F1B90" w:rsidRPr="00816DDD">
        <w:rPr>
          <w:szCs w:val="24"/>
        </w:rPr>
        <w:t>can be</w:t>
      </w:r>
      <w:r w:rsidR="006E4588" w:rsidRPr="00816DDD">
        <w:rPr>
          <w:szCs w:val="24"/>
        </w:rPr>
        <w:t>:</w:t>
      </w:r>
    </w:p>
    <w:p w14:paraId="44E89CF9" w14:textId="77777777" w:rsidR="00DB5916" w:rsidRPr="00816DDD" w:rsidRDefault="00DB5916" w:rsidP="000E660D">
      <w:pPr>
        <w:spacing w:after="0" w:line="240" w:lineRule="auto"/>
        <w:rPr>
          <w:szCs w:val="24"/>
        </w:rPr>
      </w:pPr>
    </w:p>
    <w:p w14:paraId="2AC3179B" w14:textId="475ACE77" w:rsidR="00DB5916" w:rsidRPr="00816DDD" w:rsidRDefault="00DB5916" w:rsidP="00B81FE3">
      <w:pPr>
        <w:spacing w:after="0" w:line="240" w:lineRule="auto"/>
        <w:ind w:left="360" w:right="-36"/>
        <w:rPr>
          <w:b/>
          <w:bCs/>
          <w:szCs w:val="24"/>
        </w:rPr>
      </w:pPr>
      <w:r w:rsidRPr="00816DDD">
        <w:rPr>
          <w:b/>
          <w:bCs/>
          <w:szCs w:val="24"/>
        </w:rPr>
        <w:t xml:space="preserve">Fixed-for-floating.  </w:t>
      </w:r>
      <w:r w:rsidR="001C2B81" w:rsidRPr="00816DDD">
        <w:rPr>
          <w:szCs w:val="24"/>
        </w:rPr>
        <w:t xml:space="preserve">One </w:t>
      </w:r>
      <w:r w:rsidR="00E03E69" w:rsidRPr="00816DDD">
        <w:rPr>
          <w:szCs w:val="24"/>
        </w:rPr>
        <w:t>counter</w:t>
      </w:r>
      <w:r w:rsidR="001C2B81" w:rsidRPr="00816DDD">
        <w:rPr>
          <w:szCs w:val="24"/>
        </w:rPr>
        <w:t xml:space="preserve">party agrees to pay interest on a loan at a fixed interest rate in exchange for receiving interest on the same loan at a </w:t>
      </w:r>
      <w:r w:rsidR="0039268D" w:rsidRPr="00816DDD">
        <w:rPr>
          <w:szCs w:val="24"/>
        </w:rPr>
        <w:t>floating</w:t>
      </w:r>
      <w:r w:rsidR="001C2B81" w:rsidRPr="00816DDD">
        <w:rPr>
          <w:szCs w:val="24"/>
        </w:rPr>
        <w:t xml:space="preserve"> rate.</w:t>
      </w:r>
      <w:r w:rsidR="0034796B" w:rsidRPr="00816DDD">
        <w:rPr>
          <w:szCs w:val="24"/>
        </w:rPr>
        <w:t xml:space="preserve">  Th</w:t>
      </w:r>
      <w:r w:rsidR="009C1BF3" w:rsidRPr="00816DDD">
        <w:rPr>
          <w:szCs w:val="24"/>
        </w:rPr>
        <w:t>is</w:t>
      </w:r>
      <w:r w:rsidR="0034796B" w:rsidRPr="00816DDD">
        <w:rPr>
          <w:szCs w:val="24"/>
        </w:rPr>
        <w:t xml:space="preserve"> swap convert</w:t>
      </w:r>
      <w:r w:rsidR="00F953A8" w:rsidRPr="00816DDD">
        <w:rPr>
          <w:szCs w:val="24"/>
        </w:rPr>
        <w:t>s</w:t>
      </w:r>
      <w:r w:rsidR="0034796B" w:rsidRPr="00816DDD">
        <w:rPr>
          <w:szCs w:val="24"/>
        </w:rPr>
        <w:t xml:space="preserve"> a</w:t>
      </w:r>
      <w:r w:rsidR="0039268D" w:rsidRPr="00816DDD">
        <w:rPr>
          <w:szCs w:val="24"/>
        </w:rPr>
        <w:t>n existing</w:t>
      </w:r>
      <w:r w:rsidR="0034796B" w:rsidRPr="00816DDD">
        <w:rPr>
          <w:szCs w:val="24"/>
        </w:rPr>
        <w:t xml:space="preserve"> </w:t>
      </w:r>
      <w:r w:rsidR="009A2D5F" w:rsidRPr="00816DDD">
        <w:rPr>
          <w:szCs w:val="24"/>
        </w:rPr>
        <w:t>floating</w:t>
      </w:r>
      <w:r w:rsidR="0034796B" w:rsidRPr="00816DDD">
        <w:rPr>
          <w:szCs w:val="24"/>
        </w:rPr>
        <w:t>-rate loan into a f</w:t>
      </w:r>
      <w:r w:rsidR="005B3610" w:rsidRPr="00816DDD">
        <w:rPr>
          <w:szCs w:val="24"/>
        </w:rPr>
        <w:t>ixed</w:t>
      </w:r>
      <w:r w:rsidR="0034796B" w:rsidRPr="00816DDD">
        <w:rPr>
          <w:szCs w:val="24"/>
        </w:rPr>
        <w:t xml:space="preserve">-rate loan to </w:t>
      </w:r>
      <w:r w:rsidR="004627AB">
        <w:rPr>
          <w:szCs w:val="24"/>
        </w:rPr>
        <w:t>lock in</w:t>
      </w:r>
      <w:r w:rsidR="0034796B" w:rsidRPr="00816DDD">
        <w:rPr>
          <w:szCs w:val="24"/>
        </w:rPr>
        <w:t xml:space="preserve"> a fixed rate if </w:t>
      </w:r>
      <w:r w:rsidR="0001654D" w:rsidRPr="00816DDD">
        <w:rPr>
          <w:szCs w:val="24"/>
        </w:rPr>
        <w:t xml:space="preserve">the </w:t>
      </w:r>
      <w:r w:rsidR="00DC06FC" w:rsidRPr="00816DDD">
        <w:rPr>
          <w:szCs w:val="24"/>
        </w:rPr>
        <w:t>counter</w:t>
      </w:r>
      <w:r w:rsidR="0001654D" w:rsidRPr="00816DDD">
        <w:rPr>
          <w:szCs w:val="24"/>
        </w:rPr>
        <w:t>party</w:t>
      </w:r>
      <w:r w:rsidR="0034796B" w:rsidRPr="00816DDD">
        <w:rPr>
          <w:szCs w:val="24"/>
        </w:rPr>
        <w:t xml:space="preserve"> </w:t>
      </w:r>
      <w:r w:rsidR="0034796B" w:rsidRPr="00816DDD">
        <w:rPr>
          <w:szCs w:val="24"/>
        </w:rPr>
        <w:lastRenderedPageBreak/>
        <w:t xml:space="preserve">feels </w:t>
      </w:r>
      <w:r w:rsidR="0039268D" w:rsidRPr="00816DDD">
        <w:rPr>
          <w:szCs w:val="24"/>
        </w:rPr>
        <w:t xml:space="preserve">that interest rates </w:t>
      </w:r>
      <w:r w:rsidR="009C1BF3" w:rsidRPr="00816DDD">
        <w:rPr>
          <w:szCs w:val="24"/>
        </w:rPr>
        <w:t xml:space="preserve">in the economy </w:t>
      </w:r>
      <w:r w:rsidR="0039268D" w:rsidRPr="00816DDD">
        <w:rPr>
          <w:szCs w:val="24"/>
        </w:rPr>
        <w:t xml:space="preserve">are </w:t>
      </w:r>
      <w:r w:rsidR="0034796B" w:rsidRPr="00816DDD">
        <w:rPr>
          <w:szCs w:val="24"/>
        </w:rPr>
        <w:t>going to rise.</w:t>
      </w:r>
      <w:r w:rsidR="00854638" w:rsidRPr="00816DDD">
        <w:rPr>
          <w:szCs w:val="24"/>
        </w:rPr>
        <w:t xml:space="preserve">  This </w:t>
      </w:r>
      <w:r w:rsidR="00E03E69" w:rsidRPr="00816DDD">
        <w:rPr>
          <w:szCs w:val="24"/>
        </w:rPr>
        <w:t>counter</w:t>
      </w:r>
      <w:r w:rsidR="00854638" w:rsidRPr="00816DDD">
        <w:rPr>
          <w:szCs w:val="24"/>
        </w:rPr>
        <w:t>party is</w:t>
      </w:r>
      <w:r w:rsidR="00FD5273" w:rsidRPr="00816DDD">
        <w:rPr>
          <w:szCs w:val="24"/>
        </w:rPr>
        <w:t xml:space="preserve"> </w:t>
      </w:r>
      <w:r w:rsidR="00854638" w:rsidRPr="00816DDD">
        <w:rPr>
          <w:szCs w:val="24"/>
        </w:rPr>
        <w:t>hedg</w:t>
      </w:r>
      <w:r w:rsidR="00FD5273" w:rsidRPr="00816DDD">
        <w:rPr>
          <w:szCs w:val="24"/>
        </w:rPr>
        <w:t>ing</w:t>
      </w:r>
      <w:r w:rsidR="00854638" w:rsidRPr="00816DDD">
        <w:rPr>
          <w:szCs w:val="24"/>
        </w:rPr>
        <w:t xml:space="preserve"> interest rate movements.</w:t>
      </w:r>
    </w:p>
    <w:p w14:paraId="4634B7E3" w14:textId="77777777" w:rsidR="00DB5916" w:rsidRPr="00816DDD" w:rsidRDefault="00DB5916" w:rsidP="001C2B81">
      <w:pPr>
        <w:spacing w:after="0" w:line="240" w:lineRule="auto"/>
        <w:ind w:left="360"/>
        <w:rPr>
          <w:szCs w:val="24"/>
        </w:rPr>
      </w:pPr>
    </w:p>
    <w:p w14:paraId="0E231E8A" w14:textId="69156D93" w:rsidR="00933CA2" w:rsidRPr="00816DDD" w:rsidRDefault="00DB5916" w:rsidP="001C2B81">
      <w:pPr>
        <w:spacing w:after="0" w:line="240" w:lineRule="auto"/>
        <w:ind w:left="360"/>
        <w:rPr>
          <w:b/>
          <w:bCs/>
          <w:szCs w:val="24"/>
        </w:rPr>
      </w:pPr>
      <w:r w:rsidRPr="00816DDD">
        <w:rPr>
          <w:b/>
          <w:bCs/>
          <w:szCs w:val="24"/>
        </w:rPr>
        <w:t>Floating-for-fixed.</w:t>
      </w:r>
      <w:r w:rsidR="001C2B81" w:rsidRPr="00816DDD">
        <w:rPr>
          <w:szCs w:val="24"/>
        </w:rPr>
        <w:t xml:space="preserve"> </w:t>
      </w:r>
      <w:r w:rsidR="0001654D" w:rsidRPr="00816DDD">
        <w:rPr>
          <w:szCs w:val="24"/>
        </w:rPr>
        <w:t xml:space="preserve"> </w:t>
      </w:r>
      <w:r w:rsidR="001C2B81" w:rsidRPr="00816DDD">
        <w:rPr>
          <w:szCs w:val="24"/>
        </w:rPr>
        <w:t xml:space="preserve">One </w:t>
      </w:r>
      <w:r w:rsidR="00E03E69" w:rsidRPr="00816DDD">
        <w:rPr>
          <w:szCs w:val="24"/>
        </w:rPr>
        <w:t>counter</w:t>
      </w:r>
      <w:r w:rsidR="001C2B81" w:rsidRPr="00816DDD">
        <w:rPr>
          <w:szCs w:val="24"/>
        </w:rPr>
        <w:t>party agrees to pay interest on a loan at a floating interest rate in exchange for receiving interest on the same loan at a fixed interest rate.</w:t>
      </w:r>
      <w:r w:rsidR="0001654D" w:rsidRPr="00816DDD">
        <w:rPr>
          <w:szCs w:val="24"/>
        </w:rPr>
        <w:t xml:space="preserve">  </w:t>
      </w:r>
      <w:r w:rsidR="0034796B" w:rsidRPr="00816DDD">
        <w:rPr>
          <w:szCs w:val="24"/>
        </w:rPr>
        <w:t>Th</w:t>
      </w:r>
      <w:r w:rsidR="009C1BF3" w:rsidRPr="00816DDD">
        <w:rPr>
          <w:szCs w:val="24"/>
        </w:rPr>
        <w:t>is</w:t>
      </w:r>
      <w:r w:rsidR="0001654D" w:rsidRPr="00816DDD">
        <w:rPr>
          <w:szCs w:val="24"/>
        </w:rPr>
        <w:t xml:space="preserve"> </w:t>
      </w:r>
      <w:r w:rsidR="00F953A8" w:rsidRPr="00816DDD">
        <w:rPr>
          <w:szCs w:val="24"/>
        </w:rPr>
        <w:t xml:space="preserve">swap </w:t>
      </w:r>
      <w:r w:rsidR="005B3610" w:rsidRPr="00816DDD">
        <w:rPr>
          <w:szCs w:val="24"/>
        </w:rPr>
        <w:t>convert</w:t>
      </w:r>
      <w:r w:rsidR="0001654D" w:rsidRPr="00816DDD">
        <w:rPr>
          <w:szCs w:val="24"/>
        </w:rPr>
        <w:t>s</w:t>
      </w:r>
      <w:r w:rsidR="005B3610" w:rsidRPr="00816DDD">
        <w:rPr>
          <w:szCs w:val="24"/>
        </w:rPr>
        <w:t xml:space="preserve"> a</w:t>
      </w:r>
      <w:r w:rsidR="0039268D" w:rsidRPr="00816DDD">
        <w:rPr>
          <w:szCs w:val="24"/>
        </w:rPr>
        <w:t>n existing</w:t>
      </w:r>
      <w:r w:rsidR="005B3610" w:rsidRPr="00816DDD">
        <w:rPr>
          <w:szCs w:val="24"/>
        </w:rPr>
        <w:t xml:space="preserve"> fixed-rate loan into a </w:t>
      </w:r>
      <w:r w:rsidR="009A2D5F" w:rsidRPr="00816DDD">
        <w:rPr>
          <w:szCs w:val="24"/>
        </w:rPr>
        <w:t>floating-</w:t>
      </w:r>
      <w:r w:rsidR="005B3610" w:rsidRPr="00816DDD">
        <w:rPr>
          <w:szCs w:val="24"/>
        </w:rPr>
        <w:t xml:space="preserve">rate loan if </w:t>
      </w:r>
      <w:r w:rsidR="009074D9" w:rsidRPr="00816DDD">
        <w:rPr>
          <w:szCs w:val="24"/>
        </w:rPr>
        <w:t xml:space="preserve">the </w:t>
      </w:r>
      <w:r w:rsidR="00DC06FC" w:rsidRPr="00816DDD">
        <w:rPr>
          <w:szCs w:val="24"/>
        </w:rPr>
        <w:t>counter</w:t>
      </w:r>
      <w:r w:rsidR="009074D9" w:rsidRPr="00816DDD">
        <w:rPr>
          <w:szCs w:val="24"/>
        </w:rPr>
        <w:t xml:space="preserve">party </w:t>
      </w:r>
      <w:r w:rsidR="005B3610" w:rsidRPr="00816DDD">
        <w:rPr>
          <w:szCs w:val="24"/>
        </w:rPr>
        <w:t>feels</w:t>
      </w:r>
      <w:r w:rsidR="0001654D" w:rsidRPr="00816DDD">
        <w:rPr>
          <w:szCs w:val="24"/>
        </w:rPr>
        <w:t xml:space="preserve"> </w:t>
      </w:r>
      <w:r w:rsidR="00E03E69" w:rsidRPr="00816DDD">
        <w:rPr>
          <w:szCs w:val="24"/>
        </w:rPr>
        <w:t xml:space="preserve">that </w:t>
      </w:r>
      <w:r w:rsidR="0001654D" w:rsidRPr="00816DDD">
        <w:rPr>
          <w:szCs w:val="24"/>
        </w:rPr>
        <w:t>interest</w:t>
      </w:r>
      <w:r w:rsidR="00C57003" w:rsidRPr="00816DDD">
        <w:rPr>
          <w:szCs w:val="24"/>
        </w:rPr>
        <w:t xml:space="preserve"> rate</w:t>
      </w:r>
      <w:r w:rsidR="0001654D" w:rsidRPr="00816DDD">
        <w:rPr>
          <w:szCs w:val="24"/>
        </w:rPr>
        <w:t>s</w:t>
      </w:r>
      <w:r w:rsidR="00C57003" w:rsidRPr="00816DDD">
        <w:rPr>
          <w:szCs w:val="24"/>
        </w:rPr>
        <w:t xml:space="preserve"> </w:t>
      </w:r>
      <w:r w:rsidR="0001654D" w:rsidRPr="00816DDD">
        <w:rPr>
          <w:szCs w:val="24"/>
        </w:rPr>
        <w:t>are</w:t>
      </w:r>
      <w:r w:rsidR="005B3610" w:rsidRPr="00816DDD">
        <w:rPr>
          <w:szCs w:val="24"/>
        </w:rPr>
        <w:t xml:space="preserve"> going to fall.</w:t>
      </w:r>
      <w:r w:rsidR="00854638" w:rsidRPr="00816DDD">
        <w:rPr>
          <w:szCs w:val="24"/>
        </w:rPr>
        <w:t xml:space="preserve">  This </w:t>
      </w:r>
      <w:r w:rsidR="00E03E69" w:rsidRPr="00816DDD">
        <w:rPr>
          <w:szCs w:val="24"/>
        </w:rPr>
        <w:t>counter</w:t>
      </w:r>
      <w:r w:rsidR="00854638" w:rsidRPr="00816DDD">
        <w:rPr>
          <w:szCs w:val="24"/>
        </w:rPr>
        <w:t>party is</w:t>
      </w:r>
      <w:r w:rsidR="00FD5273" w:rsidRPr="00816DDD">
        <w:rPr>
          <w:szCs w:val="24"/>
        </w:rPr>
        <w:t xml:space="preserve"> </w:t>
      </w:r>
      <w:r w:rsidR="00854638" w:rsidRPr="00816DDD">
        <w:rPr>
          <w:szCs w:val="24"/>
        </w:rPr>
        <w:t>speculat</w:t>
      </w:r>
      <w:r w:rsidR="00FD5273" w:rsidRPr="00816DDD">
        <w:rPr>
          <w:szCs w:val="24"/>
        </w:rPr>
        <w:t>ing on</w:t>
      </w:r>
      <w:r w:rsidR="00CB7E4C" w:rsidRPr="00816DDD">
        <w:rPr>
          <w:szCs w:val="24"/>
        </w:rPr>
        <w:t xml:space="preserve"> interest rate movements.</w:t>
      </w:r>
    </w:p>
    <w:p w14:paraId="530141BD" w14:textId="77777777" w:rsidR="00933CA2" w:rsidRPr="00816DDD" w:rsidRDefault="00933CA2" w:rsidP="000E660D">
      <w:pPr>
        <w:spacing w:after="0" w:line="240" w:lineRule="auto"/>
        <w:rPr>
          <w:szCs w:val="24"/>
        </w:rPr>
      </w:pPr>
    </w:p>
    <w:p w14:paraId="24F14B2A" w14:textId="29BC73CF" w:rsidR="00FE0BA0" w:rsidRPr="00816DDD" w:rsidRDefault="005528F8" w:rsidP="0039268D">
      <w:pPr>
        <w:spacing w:after="0" w:line="240" w:lineRule="auto"/>
        <w:rPr>
          <w:szCs w:val="24"/>
        </w:rPr>
      </w:pPr>
      <w:r w:rsidRPr="00816DDD">
        <w:rPr>
          <w:szCs w:val="24"/>
        </w:rPr>
        <w:t>The counterparty pay</w:t>
      </w:r>
      <w:r w:rsidR="00114AF5" w:rsidRPr="00816DDD">
        <w:rPr>
          <w:szCs w:val="24"/>
        </w:rPr>
        <w:t>ing</w:t>
      </w:r>
      <w:r w:rsidRPr="00816DDD">
        <w:rPr>
          <w:szCs w:val="24"/>
        </w:rPr>
        <w:t xml:space="preserve"> the fixed rate</w:t>
      </w:r>
      <w:r w:rsidR="00BF4E52" w:rsidRPr="00816DDD">
        <w:rPr>
          <w:szCs w:val="24"/>
        </w:rPr>
        <w:t xml:space="preserve">, </w:t>
      </w:r>
      <w:r w:rsidR="00CB7E4C" w:rsidRPr="00816DDD">
        <w:rPr>
          <w:szCs w:val="24"/>
        </w:rPr>
        <w:t>or fixed leg</w:t>
      </w:r>
      <w:r w:rsidR="00BF4E52" w:rsidRPr="00816DDD">
        <w:rPr>
          <w:szCs w:val="24"/>
        </w:rPr>
        <w:t xml:space="preserve">, </w:t>
      </w:r>
      <w:r w:rsidRPr="00816DDD">
        <w:rPr>
          <w:szCs w:val="24"/>
        </w:rPr>
        <w:t xml:space="preserve">is </w:t>
      </w:r>
      <w:r w:rsidR="00BF4E52" w:rsidRPr="00816DDD">
        <w:rPr>
          <w:szCs w:val="24"/>
        </w:rPr>
        <w:t xml:space="preserve">called </w:t>
      </w:r>
      <w:r w:rsidRPr="00816DDD">
        <w:rPr>
          <w:szCs w:val="24"/>
        </w:rPr>
        <w:t>the payer</w:t>
      </w:r>
      <w:r w:rsidR="00BF4E52" w:rsidRPr="00816DDD">
        <w:rPr>
          <w:szCs w:val="24"/>
        </w:rPr>
        <w:t>.  T</w:t>
      </w:r>
      <w:r w:rsidRPr="00816DDD">
        <w:rPr>
          <w:szCs w:val="24"/>
        </w:rPr>
        <w:t>he counterparty pay</w:t>
      </w:r>
      <w:r w:rsidR="00114AF5" w:rsidRPr="00816DDD">
        <w:rPr>
          <w:szCs w:val="24"/>
        </w:rPr>
        <w:t>ing</w:t>
      </w:r>
      <w:r w:rsidRPr="00816DDD">
        <w:rPr>
          <w:szCs w:val="24"/>
        </w:rPr>
        <w:t xml:space="preserve"> the floating rate</w:t>
      </w:r>
      <w:r w:rsidR="00BF4E52" w:rsidRPr="00816DDD">
        <w:rPr>
          <w:szCs w:val="24"/>
        </w:rPr>
        <w:t xml:space="preserve">, </w:t>
      </w:r>
      <w:r w:rsidR="00CB7E4C" w:rsidRPr="00816DDD">
        <w:rPr>
          <w:szCs w:val="24"/>
        </w:rPr>
        <w:t>or float leg</w:t>
      </w:r>
      <w:r w:rsidR="00BF4E52" w:rsidRPr="00816DDD">
        <w:rPr>
          <w:szCs w:val="24"/>
        </w:rPr>
        <w:t xml:space="preserve">, </w:t>
      </w:r>
      <w:r w:rsidRPr="00816DDD">
        <w:rPr>
          <w:szCs w:val="24"/>
        </w:rPr>
        <w:t xml:space="preserve">is </w:t>
      </w:r>
      <w:r w:rsidR="00BF4E52" w:rsidRPr="00816DDD">
        <w:rPr>
          <w:szCs w:val="24"/>
        </w:rPr>
        <w:t xml:space="preserve">called </w:t>
      </w:r>
      <w:r w:rsidRPr="00816DDD">
        <w:rPr>
          <w:szCs w:val="24"/>
        </w:rPr>
        <w:t xml:space="preserve">the receiver.  </w:t>
      </w:r>
      <w:r w:rsidR="00862B32" w:rsidRPr="00816DDD">
        <w:rPr>
          <w:szCs w:val="24"/>
        </w:rPr>
        <w:t xml:space="preserve">The </w:t>
      </w:r>
      <w:r w:rsidR="009A2D5F" w:rsidRPr="00816DDD">
        <w:rPr>
          <w:szCs w:val="24"/>
        </w:rPr>
        <w:t xml:space="preserve">loan’s </w:t>
      </w:r>
      <w:r w:rsidR="00862B32" w:rsidRPr="00816DDD">
        <w:rPr>
          <w:szCs w:val="24"/>
        </w:rPr>
        <w:t xml:space="preserve">principal is </w:t>
      </w:r>
      <w:r w:rsidR="00BF4E52" w:rsidRPr="00816DDD">
        <w:rPr>
          <w:szCs w:val="24"/>
        </w:rPr>
        <w:t>called</w:t>
      </w:r>
      <w:r w:rsidR="00862B32" w:rsidRPr="00816DDD">
        <w:rPr>
          <w:szCs w:val="24"/>
        </w:rPr>
        <w:t xml:space="preserve"> the notional value</w:t>
      </w:r>
      <w:r w:rsidR="00D235B9">
        <w:rPr>
          <w:szCs w:val="24"/>
        </w:rPr>
        <w:t xml:space="preserve">, </w:t>
      </w:r>
      <w:r w:rsidR="0001654D" w:rsidRPr="00816DDD">
        <w:rPr>
          <w:szCs w:val="24"/>
        </w:rPr>
        <w:t>as it is only used to calculate the interest payments</w:t>
      </w:r>
      <w:r w:rsidR="00114AF5" w:rsidRPr="00816DDD">
        <w:rPr>
          <w:szCs w:val="24"/>
        </w:rPr>
        <w:t xml:space="preserve"> </w:t>
      </w:r>
      <w:r w:rsidR="005E47CB" w:rsidRPr="00816DDD">
        <w:rPr>
          <w:szCs w:val="24"/>
        </w:rPr>
        <w:t xml:space="preserve">since </w:t>
      </w:r>
      <w:r w:rsidR="00781CDB" w:rsidRPr="00816DDD">
        <w:rPr>
          <w:szCs w:val="24"/>
        </w:rPr>
        <w:t xml:space="preserve">there are </w:t>
      </w:r>
      <w:r w:rsidR="00114AF5" w:rsidRPr="00816DDD">
        <w:rPr>
          <w:szCs w:val="24"/>
        </w:rPr>
        <w:t>no principal payments</w:t>
      </w:r>
      <w:r w:rsidR="00E03E69" w:rsidRPr="00816DDD">
        <w:rPr>
          <w:szCs w:val="24"/>
        </w:rPr>
        <w:t xml:space="preserve"> </w:t>
      </w:r>
      <w:r w:rsidR="00FE65DE">
        <w:rPr>
          <w:szCs w:val="24"/>
        </w:rPr>
        <w:t xml:space="preserve">made </w:t>
      </w:r>
      <w:r w:rsidR="00E03E69" w:rsidRPr="00816DDD">
        <w:rPr>
          <w:szCs w:val="24"/>
        </w:rPr>
        <w:t xml:space="preserve">in </w:t>
      </w:r>
      <w:r w:rsidR="00DE3D13" w:rsidRPr="00816DDD">
        <w:rPr>
          <w:szCs w:val="24"/>
        </w:rPr>
        <w:t>a</w:t>
      </w:r>
      <w:r w:rsidR="00E03E69" w:rsidRPr="00816DDD">
        <w:rPr>
          <w:szCs w:val="24"/>
        </w:rPr>
        <w:t xml:space="preserve"> swap</w:t>
      </w:r>
      <w:r w:rsidR="00862B32" w:rsidRPr="00816DDD">
        <w:rPr>
          <w:szCs w:val="24"/>
        </w:rPr>
        <w:t>.</w:t>
      </w:r>
      <w:r w:rsidR="00114AF5" w:rsidRPr="00816DDD">
        <w:rPr>
          <w:szCs w:val="24"/>
        </w:rPr>
        <w:t xml:space="preserve"> </w:t>
      </w:r>
      <w:r w:rsidR="00DC06FC" w:rsidRPr="00816DDD">
        <w:rPr>
          <w:szCs w:val="24"/>
        </w:rPr>
        <w:t xml:space="preserve"> </w:t>
      </w:r>
      <w:r w:rsidR="00412714" w:rsidRPr="00816DDD">
        <w:rPr>
          <w:szCs w:val="24"/>
        </w:rPr>
        <w:t xml:space="preserve">The </w:t>
      </w:r>
      <w:r w:rsidR="00FE65DE">
        <w:rPr>
          <w:szCs w:val="24"/>
        </w:rPr>
        <w:t xml:space="preserve">length </w:t>
      </w:r>
      <w:r w:rsidR="00412714" w:rsidRPr="00816DDD">
        <w:rPr>
          <w:szCs w:val="24"/>
        </w:rPr>
        <w:t xml:space="preserve">of </w:t>
      </w:r>
      <w:r w:rsidR="00FE65DE">
        <w:rPr>
          <w:szCs w:val="24"/>
        </w:rPr>
        <w:t>a</w:t>
      </w:r>
      <w:r w:rsidR="00412714" w:rsidRPr="00816DDD">
        <w:rPr>
          <w:szCs w:val="24"/>
        </w:rPr>
        <w:t xml:space="preserve"> swap</w:t>
      </w:r>
      <w:r w:rsidR="00FE65DE">
        <w:rPr>
          <w:szCs w:val="24"/>
        </w:rPr>
        <w:t xml:space="preserve"> agreement</w:t>
      </w:r>
      <w:r w:rsidR="00412714" w:rsidRPr="00816DDD">
        <w:rPr>
          <w:szCs w:val="24"/>
        </w:rPr>
        <w:t xml:space="preserve"> is called the swap term.  </w:t>
      </w:r>
      <w:r w:rsidR="00FE65DE">
        <w:rPr>
          <w:szCs w:val="24"/>
        </w:rPr>
        <w:t>Interest p</w:t>
      </w:r>
      <w:r w:rsidR="00412714" w:rsidRPr="00816DDD">
        <w:rPr>
          <w:szCs w:val="24"/>
        </w:rPr>
        <w:t xml:space="preserve">ayments are made on </w:t>
      </w:r>
      <w:r w:rsidR="00FE65DE">
        <w:rPr>
          <w:szCs w:val="24"/>
        </w:rPr>
        <w:t xml:space="preserve">specified </w:t>
      </w:r>
      <w:r w:rsidR="00412714" w:rsidRPr="00816DDD">
        <w:rPr>
          <w:szCs w:val="24"/>
        </w:rPr>
        <w:t>settlement dates</w:t>
      </w:r>
      <w:r w:rsidR="0051511B">
        <w:rPr>
          <w:szCs w:val="24"/>
        </w:rPr>
        <w:t>,</w:t>
      </w:r>
      <w:r w:rsidR="00412714" w:rsidRPr="00816DDD">
        <w:rPr>
          <w:szCs w:val="24"/>
        </w:rPr>
        <w:t xml:space="preserve"> and the time between payments is the settlement period</w:t>
      </w:r>
      <w:r w:rsidR="0051511B">
        <w:rPr>
          <w:szCs w:val="24"/>
        </w:rPr>
        <w:t>,</w:t>
      </w:r>
      <w:r w:rsidR="00412714" w:rsidRPr="00816DDD">
        <w:rPr>
          <w:szCs w:val="24"/>
        </w:rPr>
        <w:t xml:space="preserve"> which can</w:t>
      </w:r>
      <w:r w:rsidR="00854638" w:rsidRPr="00816DDD">
        <w:rPr>
          <w:szCs w:val="24"/>
        </w:rPr>
        <w:t xml:space="preserve"> </w:t>
      </w:r>
      <w:r w:rsidR="000C05A7" w:rsidRPr="00816DDD">
        <w:rPr>
          <w:szCs w:val="24"/>
        </w:rPr>
        <w:t xml:space="preserve">be daily, weekly, monthly, quarterly, annually, or any other </w:t>
      </w:r>
      <w:r w:rsidR="008F7037">
        <w:rPr>
          <w:szCs w:val="24"/>
        </w:rPr>
        <w:t>agreed-upon</w:t>
      </w:r>
      <w:r w:rsidR="000C05A7" w:rsidRPr="00816DDD">
        <w:rPr>
          <w:szCs w:val="24"/>
        </w:rPr>
        <w:t xml:space="preserve"> period.  </w:t>
      </w:r>
      <w:r w:rsidR="00114AF5" w:rsidRPr="00816DDD">
        <w:rPr>
          <w:szCs w:val="24"/>
        </w:rPr>
        <w:t>T</w:t>
      </w:r>
      <w:r w:rsidR="00722062" w:rsidRPr="00816DDD">
        <w:rPr>
          <w:szCs w:val="24"/>
        </w:rPr>
        <w:t xml:space="preserve">he </w:t>
      </w:r>
      <w:r w:rsidR="00114AF5" w:rsidRPr="00816DDD">
        <w:rPr>
          <w:szCs w:val="24"/>
        </w:rPr>
        <w:t xml:space="preserve">interest </w:t>
      </w:r>
      <w:r w:rsidR="00722062" w:rsidRPr="00816DDD">
        <w:rPr>
          <w:szCs w:val="24"/>
        </w:rPr>
        <w:t xml:space="preserve">payments </w:t>
      </w:r>
      <w:r w:rsidR="00DF1983" w:rsidRPr="00816DDD">
        <w:rPr>
          <w:szCs w:val="24"/>
        </w:rPr>
        <w:t xml:space="preserve">made </w:t>
      </w:r>
      <w:r w:rsidR="00722062" w:rsidRPr="00816DDD">
        <w:rPr>
          <w:szCs w:val="24"/>
        </w:rPr>
        <w:t xml:space="preserve">are </w:t>
      </w:r>
      <w:r w:rsidR="005A6781" w:rsidRPr="00816DDD">
        <w:rPr>
          <w:szCs w:val="24"/>
        </w:rPr>
        <w:t>netted for</w:t>
      </w:r>
      <w:r w:rsidR="00722062" w:rsidRPr="00816DDD">
        <w:rPr>
          <w:szCs w:val="24"/>
        </w:rPr>
        <w:t xml:space="preserve"> </w:t>
      </w:r>
      <w:r w:rsidR="00114AF5" w:rsidRPr="00816DDD">
        <w:rPr>
          <w:szCs w:val="24"/>
        </w:rPr>
        <w:t>each period</w:t>
      </w:r>
      <w:r w:rsidR="0051511B">
        <w:rPr>
          <w:szCs w:val="24"/>
        </w:rPr>
        <w:t>,</w:t>
      </w:r>
      <w:r w:rsidR="00BF4E52" w:rsidRPr="00816DDD">
        <w:rPr>
          <w:szCs w:val="24"/>
        </w:rPr>
        <w:t xml:space="preserve"> so</w:t>
      </w:r>
      <w:r w:rsidR="00722062" w:rsidRPr="00816DDD">
        <w:rPr>
          <w:szCs w:val="24"/>
        </w:rPr>
        <w:t xml:space="preserve"> only the difference between the payment</w:t>
      </w:r>
      <w:r w:rsidR="00DC06FC" w:rsidRPr="00816DDD">
        <w:rPr>
          <w:szCs w:val="24"/>
        </w:rPr>
        <w:t>s,</w:t>
      </w:r>
      <w:r w:rsidR="00722062" w:rsidRPr="00816DDD">
        <w:rPr>
          <w:szCs w:val="24"/>
        </w:rPr>
        <w:t xml:space="preserve"> or the net swap payment</w:t>
      </w:r>
      <w:r w:rsidR="00DC06FC" w:rsidRPr="00816DDD">
        <w:rPr>
          <w:szCs w:val="24"/>
        </w:rPr>
        <w:t xml:space="preserve">, </w:t>
      </w:r>
      <w:r w:rsidR="00722062" w:rsidRPr="00816DDD">
        <w:rPr>
          <w:szCs w:val="24"/>
        </w:rPr>
        <w:t xml:space="preserve">is </w:t>
      </w:r>
      <w:r w:rsidR="00781CDB" w:rsidRPr="00816DDD">
        <w:rPr>
          <w:szCs w:val="24"/>
        </w:rPr>
        <w:t xml:space="preserve">paid </w:t>
      </w:r>
      <w:r w:rsidR="00722062" w:rsidRPr="00816DDD">
        <w:rPr>
          <w:szCs w:val="24"/>
        </w:rPr>
        <w:t xml:space="preserve">by one counterparty to the other.  </w:t>
      </w:r>
      <w:r w:rsidR="00114AF5" w:rsidRPr="00816DDD">
        <w:rPr>
          <w:szCs w:val="24"/>
        </w:rPr>
        <w:t xml:space="preserve">Each counterparty continues to make the interest and principal payments on their existing </w:t>
      </w:r>
      <w:r w:rsidR="00781CDB" w:rsidRPr="00816DDD">
        <w:rPr>
          <w:szCs w:val="24"/>
        </w:rPr>
        <w:t xml:space="preserve">commercial </w:t>
      </w:r>
      <w:r w:rsidR="00114AF5" w:rsidRPr="00816DDD">
        <w:rPr>
          <w:szCs w:val="24"/>
        </w:rPr>
        <w:t>loan, but</w:t>
      </w:r>
      <w:r w:rsidR="006C2602" w:rsidRPr="00816DDD">
        <w:rPr>
          <w:szCs w:val="24"/>
        </w:rPr>
        <w:t xml:space="preserve"> when </w:t>
      </w:r>
      <w:r w:rsidR="00114AF5" w:rsidRPr="00816DDD">
        <w:rPr>
          <w:szCs w:val="24"/>
        </w:rPr>
        <w:t xml:space="preserve">the </w:t>
      </w:r>
      <w:r w:rsidR="00FE0BA0" w:rsidRPr="00816DDD">
        <w:rPr>
          <w:szCs w:val="24"/>
        </w:rPr>
        <w:t xml:space="preserve">net </w:t>
      </w:r>
      <w:r w:rsidR="006C2602" w:rsidRPr="00816DDD">
        <w:rPr>
          <w:szCs w:val="24"/>
        </w:rPr>
        <w:t xml:space="preserve">swap </w:t>
      </w:r>
      <w:r w:rsidR="00FE0BA0" w:rsidRPr="00816DDD">
        <w:rPr>
          <w:szCs w:val="24"/>
        </w:rPr>
        <w:t>payment</w:t>
      </w:r>
      <w:r w:rsidR="00114AF5" w:rsidRPr="00816DDD">
        <w:rPr>
          <w:szCs w:val="24"/>
        </w:rPr>
        <w:t>s</w:t>
      </w:r>
      <w:r w:rsidR="00FE0BA0" w:rsidRPr="00816DDD">
        <w:rPr>
          <w:szCs w:val="24"/>
        </w:rPr>
        <w:t xml:space="preserve"> </w:t>
      </w:r>
      <w:r w:rsidR="000C75FE" w:rsidRPr="00816DDD">
        <w:rPr>
          <w:szCs w:val="24"/>
        </w:rPr>
        <w:t xml:space="preserve">are </w:t>
      </w:r>
      <w:r w:rsidR="006C2602" w:rsidRPr="00816DDD">
        <w:rPr>
          <w:szCs w:val="24"/>
        </w:rPr>
        <w:t>inc</w:t>
      </w:r>
      <w:r w:rsidR="009C1BF3" w:rsidRPr="00816DDD">
        <w:rPr>
          <w:szCs w:val="24"/>
        </w:rPr>
        <w:t>luded</w:t>
      </w:r>
      <w:r w:rsidR="000C75FE" w:rsidRPr="00816DDD">
        <w:rPr>
          <w:szCs w:val="24"/>
        </w:rPr>
        <w:t xml:space="preserve">, </w:t>
      </w:r>
      <w:r w:rsidR="00FE0BA0" w:rsidRPr="00816DDD">
        <w:rPr>
          <w:szCs w:val="24"/>
        </w:rPr>
        <w:t xml:space="preserve">the </w:t>
      </w:r>
      <w:r w:rsidR="00DC06FC" w:rsidRPr="00816DDD">
        <w:rPr>
          <w:szCs w:val="24"/>
        </w:rPr>
        <w:t xml:space="preserve">counterparty’s </w:t>
      </w:r>
      <w:r w:rsidR="00FE0BA0" w:rsidRPr="00816DDD">
        <w:rPr>
          <w:szCs w:val="24"/>
        </w:rPr>
        <w:t>loan</w:t>
      </w:r>
      <w:r w:rsidR="00DC06FC" w:rsidRPr="00816DDD">
        <w:rPr>
          <w:szCs w:val="24"/>
        </w:rPr>
        <w:t>s</w:t>
      </w:r>
      <w:r w:rsidR="00FE0BA0" w:rsidRPr="00816DDD">
        <w:rPr>
          <w:szCs w:val="24"/>
        </w:rPr>
        <w:t xml:space="preserve"> </w:t>
      </w:r>
      <w:r w:rsidR="006C2602" w:rsidRPr="00816DDD">
        <w:rPr>
          <w:szCs w:val="24"/>
        </w:rPr>
        <w:t xml:space="preserve">are converted </w:t>
      </w:r>
      <w:r w:rsidR="009C1BF3" w:rsidRPr="00816DDD">
        <w:rPr>
          <w:szCs w:val="24"/>
        </w:rPr>
        <w:t>to</w:t>
      </w:r>
      <w:r w:rsidR="00FE0BA0" w:rsidRPr="00816DDD">
        <w:rPr>
          <w:szCs w:val="24"/>
        </w:rPr>
        <w:t xml:space="preserve"> </w:t>
      </w:r>
      <w:r w:rsidR="009C1BF3" w:rsidRPr="00816DDD">
        <w:rPr>
          <w:szCs w:val="24"/>
        </w:rPr>
        <w:t xml:space="preserve">either </w:t>
      </w:r>
      <w:r w:rsidR="00DF1983" w:rsidRPr="00816DDD">
        <w:rPr>
          <w:szCs w:val="24"/>
        </w:rPr>
        <w:t xml:space="preserve">the </w:t>
      </w:r>
      <w:r w:rsidR="00FE0BA0" w:rsidRPr="00816DDD">
        <w:rPr>
          <w:szCs w:val="24"/>
        </w:rPr>
        <w:t xml:space="preserve">fixed-rate </w:t>
      </w:r>
      <w:r w:rsidR="009C1BF3" w:rsidRPr="00816DDD">
        <w:rPr>
          <w:szCs w:val="24"/>
        </w:rPr>
        <w:t>or</w:t>
      </w:r>
      <w:r w:rsidR="00FE0BA0" w:rsidRPr="00816DDD">
        <w:rPr>
          <w:szCs w:val="24"/>
        </w:rPr>
        <w:t xml:space="preserve"> floating-rate</w:t>
      </w:r>
      <w:r w:rsidR="00E03E69" w:rsidRPr="00816DDD">
        <w:rPr>
          <w:szCs w:val="24"/>
        </w:rPr>
        <w:t xml:space="preserve"> </w:t>
      </w:r>
      <w:r w:rsidR="00DE3D13" w:rsidRPr="00816DDD">
        <w:rPr>
          <w:szCs w:val="24"/>
        </w:rPr>
        <w:t xml:space="preserve">loans </w:t>
      </w:r>
      <w:r w:rsidR="00E03E69" w:rsidRPr="00816DDD">
        <w:rPr>
          <w:szCs w:val="24"/>
        </w:rPr>
        <w:t>they wanted</w:t>
      </w:r>
      <w:r w:rsidR="003E30D7" w:rsidRPr="00816DDD">
        <w:rPr>
          <w:szCs w:val="24"/>
        </w:rPr>
        <w:t>.</w:t>
      </w:r>
      <w:r w:rsidR="00114AF5" w:rsidRPr="00816DDD">
        <w:rPr>
          <w:szCs w:val="24"/>
        </w:rPr>
        <w:t xml:space="preserve"> </w:t>
      </w:r>
      <w:r w:rsidR="000C75FE" w:rsidRPr="00816DDD">
        <w:rPr>
          <w:szCs w:val="24"/>
        </w:rPr>
        <w:t xml:space="preserve"> The net interest payment is the interest paid </w:t>
      </w:r>
      <w:r w:rsidR="0086447D" w:rsidRPr="00816DDD">
        <w:rPr>
          <w:szCs w:val="24"/>
        </w:rPr>
        <w:t>t</w:t>
      </w:r>
      <w:r w:rsidR="000C75FE" w:rsidRPr="00816DDD">
        <w:rPr>
          <w:szCs w:val="24"/>
        </w:rPr>
        <w:t xml:space="preserve">o the </w:t>
      </w:r>
      <w:r w:rsidR="00DF1983" w:rsidRPr="00816DDD">
        <w:rPr>
          <w:szCs w:val="24"/>
        </w:rPr>
        <w:t xml:space="preserve">commercial </w:t>
      </w:r>
      <w:r w:rsidR="000C75FE" w:rsidRPr="00816DDD">
        <w:rPr>
          <w:szCs w:val="24"/>
        </w:rPr>
        <w:t>lender plus any net swap payments made</w:t>
      </w:r>
      <w:r w:rsidR="0051511B">
        <w:rPr>
          <w:szCs w:val="24"/>
        </w:rPr>
        <w:t>,</w:t>
      </w:r>
      <w:r w:rsidR="000C75FE" w:rsidRPr="00816DDD">
        <w:rPr>
          <w:szCs w:val="24"/>
        </w:rPr>
        <w:t xml:space="preserve"> </w:t>
      </w:r>
      <w:r w:rsidR="009C1BF3" w:rsidRPr="00816DDD">
        <w:rPr>
          <w:szCs w:val="24"/>
        </w:rPr>
        <w:t>or</w:t>
      </w:r>
      <w:r w:rsidR="000C75FE" w:rsidRPr="00816DDD">
        <w:rPr>
          <w:szCs w:val="24"/>
        </w:rPr>
        <w:t xml:space="preserve"> less any net swap payments received.</w:t>
      </w:r>
      <w:r w:rsidR="005A78B3" w:rsidRPr="00816DDD">
        <w:rPr>
          <w:szCs w:val="24"/>
        </w:rPr>
        <w:t xml:space="preserve"> A fixed-for-floating swap, also called a “plain vanilla” swap</w:t>
      </w:r>
      <w:r w:rsidR="00530A13" w:rsidRPr="00816DDD">
        <w:rPr>
          <w:szCs w:val="24"/>
        </w:rPr>
        <w:t xml:space="preserve">, </w:t>
      </w:r>
      <w:r w:rsidR="005A78B3" w:rsidRPr="00816DDD">
        <w:rPr>
          <w:szCs w:val="24"/>
        </w:rPr>
        <w:t>is the most common</w:t>
      </w:r>
      <w:r w:rsidR="0086447D" w:rsidRPr="00816DDD">
        <w:rPr>
          <w:szCs w:val="24"/>
        </w:rPr>
        <w:t xml:space="preserve"> </w:t>
      </w:r>
      <w:r w:rsidR="00DE3D13" w:rsidRPr="00816DDD">
        <w:rPr>
          <w:szCs w:val="24"/>
        </w:rPr>
        <w:t>type of swap</w:t>
      </w:r>
      <w:r w:rsidR="0051511B">
        <w:rPr>
          <w:szCs w:val="24"/>
        </w:rPr>
        <w:t>,</w:t>
      </w:r>
      <w:r w:rsidR="00DE3D13" w:rsidRPr="00816DDD">
        <w:rPr>
          <w:szCs w:val="24"/>
        </w:rPr>
        <w:t xml:space="preserve"> </w:t>
      </w:r>
      <w:r w:rsidR="0086447D" w:rsidRPr="00816DDD">
        <w:rPr>
          <w:szCs w:val="24"/>
        </w:rPr>
        <w:t>as they are initiated by compan</w:t>
      </w:r>
      <w:r w:rsidR="00BF4E52" w:rsidRPr="00816DDD">
        <w:rPr>
          <w:szCs w:val="24"/>
        </w:rPr>
        <w:t>ies</w:t>
      </w:r>
      <w:r w:rsidR="0086447D" w:rsidRPr="00816DDD">
        <w:rPr>
          <w:szCs w:val="24"/>
        </w:rPr>
        <w:t xml:space="preserve"> want</w:t>
      </w:r>
      <w:r w:rsidR="00BF4E52" w:rsidRPr="00816DDD">
        <w:rPr>
          <w:szCs w:val="24"/>
        </w:rPr>
        <w:t>ing</w:t>
      </w:r>
      <w:r w:rsidR="0086447D" w:rsidRPr="00816DDD">
        <w:rPr>
          <w:szCs w:val="24"/>
        </w:rPr>
        <w:t xml:space="preserve"> to hedge interest rate </w:t>
      </w:r>
      <w:r w:rsidR="00BF4E52" w:rsidRPr="00816DDD">
        <w:rPr>
          <w:szCs w:val="24"/>
        </w:rPr>
        <w:t>movement</w:t>
      </w:r>
      <w:r w:rsidR="0086447D" w:rsidRPr="00816DDD">
        <w:rPr>
          <w:szCs w:val="24"/>
        </w:rPr>
        <w:t>s</w:t>
      </w:r>
      <w:r w:rsidR="00BF4E52" w:rsidRPr="00816DDD">
        <w:rPr>
          <w:szCs w:val="24"/>
        </w:rPr>
        <w:t xml:space="preserve"> by converting a floating-rate loan into a fixed-rate loan.</w:t>
      </w:r>
    </w:p>
    <w:p w14:paraId="50AFB7A7" w14:textId="12EB24C7" w:rsidR="000F1BB0" w:rsidRPr="00816DDD" w:rsidRDefault="000F1BB0" w:rsidP="0039268D">
      <w:pPr>
        <w:spacing w:after="0" w:line="240" w:lineRule="auto"/>
        <w:rPr>
          <w:szCs w:val="24"/>
        </w:rPr>
      </w:pPr>
    </w:p>
    <w:p w14:paraId="1DAAC9DD" w14:textId="251F5A01" w:rsidR="007763B3" w:rsidRPr="00816DDD" w:rsidRDefault="007763B3" w:rsidP="007763B3">
      <w:pPr>
        <w:spacing w:after="0" w:line="240" w:lineRule="auto"/>
        <w:jc w:val="center"/>
        <w:rPr>
          <w:b/>
          <w:bCs/>
          <w:sz w:val="20"/>
          <w:szCs w:val="20"/>
        </w:rPr>
      </w:pPr>
      <w:r w:rsidRPr="00816DDD">
        <w:rPr>
          <w:b/>
          <w:bCs/>
          <w:sz w:val="20"/>
          <w:szCs w:val="20"/>
        </w:rPr>
        <w:t>Exhibit 10:</w:t>
      </w:r>
      <w:r w:rsidR="005A78B3" w:rsidRPr="00816DDD">
        <w:rPr>
          <w:b/>
          <w:bCs/>
          <w:sz w:val="20"/>
          <w:szCs w:val="20"/>
        </w:rPr>
        <w:t xml:space="preserve"> Structure of a Fixed-for-Floating Swap</w:t>
      </w:r>
    </w:p>
    <w:p w14:paraId="638B73D0" w14:textId="67CFB86B" w:rsidR="000C05A7" w:rsidRPr="00816DDD" w:rsidRDefault="003C4EC4" w:rsidP="0039268D">
      <w:pPr>
        <w:spacing w:after="0" w:line="240" w:lineRule="auto"/>
        <w:rPr>
          <w:szCs w:val="24"/>
        </w:rPr>
      </w:pPr>
      <w:r>
        <w:rPr>
          <w:noProof/>
        </w:rPr>
        <w:pict w14:anchorId="634DF7BD">
          <v:shape id="Text Box 3" o:spid="_x0000_s1040" type="#_x0000_t202" style="position:absolute;margin-left:374.05pt;margin-top:12.9pt;width:108.3pt;height:89.2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4jEgIAAP4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" stroked="f">
            <v:textbox style="mso-fit-shape-to-text:t">
              <w:txbxContent>
                <w:p w14:paraId="0BB1228A" w14:textId="5588CF01" w:rsidR="00F35BB5" w:rsidRPr="00125A65" w:rsidRDefault="005A78B3" w:rsidP="00F35BB5">
                  <w:pPr>
                    <w:spacing w:after="0" w:line="240" w:lineRule="auto"/>
                    <w:jc w:val="center"/>
                    <w:rPr>
                      <w:sz w:val="20"/>
                      <w:szCs w:val="20"/>
                    </w:rPr>
                  </w:pPr>
                  <w:r w:rsidRPr="00125A65">
                    <w:rPr>
                      <w:sz w:val="20"/>
                      <w:szCs w:val="20"/>
                    </w:rPr>
                    <w:t>Receives f</w:t>
                  </w:r>
                  <w:r w:rsidR="00F35BB5" w:rsidRPr="00125A65">
                    <w:rPr>
                      <w:sz w:val="20"/>
                      <w:szCs w:val="20"/>
                    </w:rPr>
                    <w:t>ixed leg</w:t>
                  </w:r>
                </w:p>
                <w:p w14:paraId="50A1B918" w14:textId="77777777" w:rsidR="007763B3" w:rsidRPr="00125A65" w:rsidRDefault="007763B3" w:rsidP="000A59DE">
                  <w:pPr>
                    <w:spacing w:after="0" w:line="240" w:lineRule="auto"/>
                    <w:rPr>
                      <w:sz w:val="20"/>
                      <w:szCs w:val="20"/>
                    </w:rPr>
                  </w:pPr>
                </w:p>
                <w:p w14:paraId="703F9514" w14:textId="77777777" w:rsidR="004D2D54" w:rsidRDefault="004D2D54" w:rsidP="00E03E69">
                  <w:pPr>
                    <w:spacing w:after="0" w:line="240" w:lineRule="auto"/>
                    <w:jc w:val="center"/>
                    <w:rPr>
                      <w:sz w:val="20"/>
                      <w:szCs w:val="20"/>
                    </w:rPr>
                  </w:pPr>
                </w:p>
                <w:p w14:paraId="6016E84F" w14:textId="3052B6E7" w:rsidR="00F35BB5" w:rsidRPr="00125A65" w:rsidRDefault="00E03E69" w:rsidP="00E03E69">
                  <w:pPr>
                    <w:spacing w:after="0" w:line="240" w:lineRule="auto"/>
                    <w:jc w:val="center"/>
                    <w:rPr>
                      <w:sz w:val="20"/>
                      <w:szCs w:val="20"/>
                    </w:rPr>
                  </w:pPr>
                  <w:r w:rsidRPr="00125A65">
                    <w:rPr>
                      <w:sz w:val="20"/>
                      <w:szCs w:val="20"/>
                    </w:rPr>
                    <w:t>Receiver</w:t>
                  </w:r>
                </w:p>
                <w:p w14:paraId="2006830D" w14:textId="77777777" w:rsidR="007763B3" w:rsidRPr="00125A65" w:rsidRDefault="007763B3" w:rsidP="000A59DE">
                  <w:pPr>
                    <w:spacing w:after="0" w:line="240" w:lineRule="auto"/>
                    <w:rPr>
                      <w:sz w:val="20"/>
                      <w:szCs w:val="20"/>
                    </w:rPr>
                  </w:pPr>
                </w:p>
                <w:p w14:paraId="0E95A342" w14:textId="77777777" w:rsidR="004D2D54" w:rsidRDefault="004D2D54" w:rsidP="00F35BB5">
                  <w:pPr>
                    <w:spacing w:after="0" w:line="240" w:lineRule="auto"/>
                    <w:jc w:val="center"/>
                    <w:rPr>
                      <w:sz w:val="20"/>
                      <w:szCs w:val="20"/>
                    </w:rPr>
                  </w:pPr>
                </w:p>
                <w:p w14:paraId="1257E278" w14:textId="52472650" w:rsidR="00F35BB5" w:rsidRPr="00125A65" w:rsidRDefault="005A78B3" w:rsidP="00F35BB5">
                  <w:pPr>
                    <w:spacing w:after="0" w:line="240" w:lineRule="auto"/>
                    <w:jc w:val="center"/>
                    <w:rPr>
                      <w:sz w:val="20"/>
                      <w:szCs w:val="20"/>
                    </w:rPr>
                  </w:pPr>
                  <w:r w:rsidRPr="00125A65">
                    <w:rPr>
                      <w:sz w:val="20"/>
                      <w:szCs w:val="20"/>
                    </w:rPr>
                    <w:t>Pays f</w:t>
                  </w:r>
                  <w:r w:rsidR="00F35BB5" w:rsidRPr="00125A65">
                    <w:rPr>
                      <w:sz w:val="20"/>
                      <w:szCs w:val="20"/>
                    </w:rPr>
                    <w:t>loat leg</w:t>
                  </w:r>
                </w:p>
              </w:txbxContent>
            </v:textbox>
            <w10:wrap type="square"/>
          </v:shape>
        </w:pict>
      </w:r>
    </w:p>
    <w:p w14:paraId="6EF9BD88" w14:textId="456C6F46" w:rsidR="000C05A7" w:rsidRPr="00816DDD" w:rsidRDefault="003C4EC4" w:rsidP="0039268D">
      <w:pPr>
        <w:spacing w:after="0" w:line="240" w:lineRule="auto"/>
        <w:rPr>
          <w:szCs w:val="24"/>
        </w:rPr>
      </w:pPr>
      <w:r>
        <w:rPr>
          <w:noProof/>
        </w:rPr>
        <w:pict w14:anchorId="7822A8A3">
          <v:shape id="_x0000_s1039" type="#_x0000_t202" style="position:absolute;margin-left:153.35pt;margin-top:.9pt;width:204.15pt;height:100.95pt;z-index:251672576;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" stroked="f">
            <v:textbox style="mso-next-textbox:#_x0000_s1039;mso-fit-shape-to-text:t">
              <w:txbxContent>
                <w:p w14:paraId="50520C60" w14:textId="3757096C" w:rsidR="00F35BB5" w:rsidRPr="00BD174E" w:rsidRDefault="00F35BB5" w:rsidP="007763B3">
                  <w:pPr>
                    <w:spacing w:after="0" w:line="240" w:lineRule="auto"/>
                    <w:jc w:val="center"/>
                    <w:rPr>
                      <w:sz w:val="20"/>
                      <w:szCs w:val="20"/>
                    </w:rPr>
                  </w:pPr>
                  <w:r w:rsidRPr="00BD174E">
                    <w:rPr>
                      <w:sz w:val="20"/>
                      <w:szCs w:val="20"/>
                    </w:rPr>
                    <w:t>Swap rate</w:t>
                  </w:r>
                </w:p>
                <w:p w14:paraId="1133CD08" w14:textId="1796C572" w:rsidR="007763B3" w:rsidRPr="00BD174E" w:rsidRDefault="00296421" w:rsidP="007763B3">
                  <w:pPr>
                    <w:spacing w:after="0" w:line="240" w:lineRule="auto"/>
                    <w:rPr>
                      <w:sz w:val="20"/>
                      <w:szCs w:val="20"/>
                    </w:rPr>
                  </w:pPr>
                  <w:r w:rsidRPr="0097783E">
                    <w:rPr>
                      <w:noProof/>
                      <w:sz w:val="20"/>
                      <w:szCs w:val="20"/>
                    </w:rPr>
                    <w:drawing>
                      <wp:inline distT="0" distB="0" distL="0" distR="0" wp14:anchorId="0E21729F" wp14:editId="35F1002F">
                        <wp:extent cx="2241619" cy="162560"/>
                        <wp:effectExtent l="0" t="0" r="0" b="0"/>
                        <wp:docPr id="136688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2324985" cy="168606"/>
                                </a:xfrm>
                                <a:prstGeom prst="rect">
                                  <a:avLst/>
                                </a:prstGeom>
                                <a:noFill/>
                                <a:ln>
                                  <a:noFill/>
                                </a:ln>
                              </pic:spPr>
                            </pic:pic>
                          </a:graphicData>
                        </a:graphic>
                      </wp:inline>
                    </w:drawing>
                  </w:r>
                </w:p>
                <w:p w14:paraId="199FE33C" w14:textId="77777777" w:rsidR="00CA3679" w:rsidRDefault="00CA3679" w:rsidP="00CA3679">
                  <w:pPr>
                    <w:spacing w:after="0" w:line="240" w:lineRule="auto"/>
                    <w:jc w:val="center"/>
                    <w:rPr>
                      <w:sz w:val="20"/>
                      <w:szCs w:val="20"/>
                    </w:rPr>
                  </w:pPr>
                </w:p>
                <w:p w14:paraId="2F29895F" w14:textId="6CFF4FA8" w:rsidR="00F35BB5" w:rsidRPr="00BD174E" w:rsidRDefault="00F35BB5" w:rsidP="00CA3679">
                  <w:pPr>
                    <w:spacing w:after="0" w:line="240" w:lineRule="auto"/>
                    <w:jc w:val="center"/>
                    <w:rPr>
                      <w:sz w:val="20"/>
                      <w:szCs w:val="20"/>
                    </w:rPr>
                  </w:pPr>
                  <w:r w:rsidRPr="00BD174E">
                    <w:rPr>
                      <w:sz w:val="20"/>
                      <w:szCs w:val="20"/>
                    </w:rPr>
                    <w:t xml:space="preserve">Notional </w:t>
                  </w:r>
                  <w:r w:rsidR="00FE65DE">
                    <w:rPr>
                      <w:sz w:val="20"/>
                      <w:szCs w:val="20"/>
                    </w:rPr>
                    <w:t>value</w:t>
                  </w:r>
                </w:p>
                <w:p w14:paraId="044185A9" w14:textId="77777777" w:rsidR="007763B3" w:rsidRPr="00BD174E" w:rsidRDefault="007763B3" w:rsidP="000A59DE">
                  <w:pPr>
                    <w:spacing w:after="0" w:line="240" w:lineRule="auto"/>
                    <w:rPr>
                      <w:sz w:val="20"/>
                      <w:szCs w:val="20"/>
                    </w:rPr>
                  </w:pPr>
                </w:p>
                <w:p w14:paraId="63257DA9" w14:textId="77777777" w:rsidR="004D2D54" w:rsidRDefault="004D2D54" w:rsidP="007763B3">
                  <w:pPr>
                    <w:spacing w:after="0" w:line="240" w:lineRule="auto"/>
                    <w:jc w:val="center"/>
                    <w:rPr>
                      <w:sz w:val="20"/>
                      <w:szCs w:val="20"/>
                    </w:rPr>
                  </w:pPr>
                </w:p>
                <w:p w14:paraId="44B134F6" w14:textId="6C891CDF" w:rsidR="00F35BB5" w:rsidRPr="00BD174E" w:rsidRDefault="00F35BB5" w:rsidP="007763B3">
                  <w:pPr>
                    <w:spacing w:after="0" w:line="240" w:lineRule="auto"/>
                    <w:jc w:val="center"/>
                    <w:rPr>
                      <w:sz w:val="20"/>
                      <w:szCs w:val="20"/>
                    </w:rPr>
                  </w:pPr>
                  <w:r w:rsidRPr="00BD174E">
                    <w:rPr>
                      <w:sz w:val="20"/>
                      <w:szCs w:val="20"/>
                    </w:rPr>
                    <w:t>Banker’s acceptance rate + Adjustment</w:t>
                  </w:r>
                  <w:r w:rsidR="007763B3" w:rsidRPr="00BD174E">
                    <w:rPr>
                      <w:sz w:val="20"/>
                      <w:szCs w:val="20"/>
                    </w:rPr>
                    <w:t xml:space="preserve"> </w:t>
                  </w:r>
                </w:p>
                <w:p w14:paraId="13412A74" w14:textId="18AFB295" w:rsidR="007763B3" w:rsidRPr="00BD174E" w:rsidRDefault="0097783E" w:rsidP="007763B3">
                  <w:pPr>
                    <w:spacing w:after="0" w:line="240" w:lineRule="auto"/>
                    <w:jc w:val="center"/>
                    <w:rPr>
                      <w:sz w:val="20"/>
                      <w:szCs w:val="20"/>
                    </w:rPr>
                  </w:pPr>
                  <w:r w:rsidRPr="0097783E">
                    <w:rPr>
                      <w:noProof/>
                      <w:sz w:val="20"/>
                      <w:szCs w:val="20"/>
                    </w:rPr>
                    <w:drawing>
                      <wp:inline distT="0" distB="0" distL="0" distR="0" wp14:anchorId="45143FED" wp14:editId="517A496A">
                        <wp:extent cx="2356485" cy="171450"/>
                        <wp:effectExtent l="0" t="0" r="0" b="0"/>
                        <wp:docPr id="362100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flipV="1">
                                  <a:off x="0" y="0"/>
                                  <a:ext cx="2466331" cy="179442"/>
                                </a:xfrm>
                                <a:prstGeom prst="rect">
                                  <a:avLst/>
                                </a:prstGeom>
                                <a:noFill/>
                                <a:ln>
                                  <a:noFill/>
                                </a:ln>
                              </pic:spPr>
                            </pic:pic>
                          </a:graphicData>
                        </a:graphic>
                      </wp:inline>
                    </w:drawing>
                  </w:r>
                </w:p>
              </w:txbxContent>
            </v:textbox>
            <w10:wrap type="square"/>
          </v:shape>
        </w:pict>
      </w:r>
      <w:r>
        <w:rPr>
          <w:noProof/>
        </w:rPr>
        <w:pict w14:anchorId="59A90022">
          <v:shape id="_x0000_s1038" type="#_x0000_t202" style="position:absolute;margin-left:22.85pt;margin-top:.75pt;width:112.05pt;height:89.2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6iEw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" stroked="f">
            <v:textbox style="mso-next-textbox:#_x0000_s1038;mso-fit-shape-to-text:t">
              <w:txbxContent>
                <w:p w14:paraId="00F07A55" w14:textId="744D7099" w:rsidR="001B3CD1" w:rsidRDefault="005A78B3" w:rsidP="0097783E">
                  <w:pPr>
                    <w:spacing w:after="0" w:line="240" w:lineRule="auto"/>
                    <w:jc w:val="center"/>
                    <w:rPr>
                      <w:sz w:val="20"/>
                      <w:szCs w:val="20"/>
                    </w:rPr>
                  </w:pPr>
                  <w:r w:rsidRPr="00BD174E">
                    <w:rPr>
                      <w:sz w:val="20"/>
                      <w:szCs w:val="20"/>
                    </w:rPr>
                    <w:t>Pays f</w:t>
                  </w:r>
                  <w:r w:rsidR="00F35BB5" w:rsidRPr="00BD174E">
                    <w:rPr>
                      <w:sz w:val="20"/>
                      <w:szCs w:val="20"/>
                    </w:rPr>
                    <w:t>ixed leg</w:t>
                  </w:r>
                </w:p>
                <w:p w14:paraId="58E019F8" w14:textId="77777777" w:rsidR="0097783E" w:rsidRPr="00BD174E" w:rsidRDefault="0097783E" w:rsidP="0097783E">
                  <w:pPr>
                    <w:spacing w:after="0" w:line="240" w:lineRule="auto"/>
                    <w:jc w:val="center"/>
                    <w:rPr>
                      <w:sz w:val="20"/>
                      <w:szCs w:val="20"/>
                    </w:rPr>
                  </w:pPr>
                </w:p>
                <w:p w14:paraId="4016ED0C" w14:textId="77777777" w:rsidR="004D2D54" w:rsidRDefault="004D2D54" w:rsidP="00F35BB5">
                  <w:pPr>
                    <w:spacing w:after="0" w:line="240" w:lineRule="auto"/>
                    <w:jc w:val="center"/>
                    <w:rPr>
                      <w:sz w:val="20"/>
                      <w:szCs w:val="20"/>
                    </w:rPr>
                  </w:pPr>
                </w:p>
                <w:p w14:paraId="704873E6" w14:textId="262A4E9F" w:rsidR="00F35BB5" w:rsidRPr="00BD174E" w:rsidRDefault="00E03E69" w:rsidP="00F35BB5">
                  <w:pPr>
                    <w:spacing w:after="0" w:line="240" w:lineRule="auto"/>
                    <w:jc w:val="center"/>
                    <w:rPr>
                      <w:sz w:val="20"/>
                      <w:szCs w:val="20"/>
                    </w:rPr>
                  </w:pPr>
                  <w:r w:rsidRPr="00BD174E">
                    <w:rPr>
                      <w:sz w:val="20"/>
                      <w:szCs w:val="20"/>
                    </w:rPr>
                    <w:t>Payer</w:t>
                  </w:r>
                </w:p>
                <w:p w14:paraId="084FB6ED" w14:textId="77777777" w:rsidR="007763B3" w:rsidRPr="00BD174E" w:rsidRDefault="007763B3" w:rsidP="000A59DE">
                  <w:pPr>
                    <w:spacing w:after="0" w:line="240" w:lineRule="auto"/>
                    <w:rPr>
                      <w:sz w:val="20"/>
                      <w:szCs w:val="20"/>
                    </w:rPr>
                  </w:pPr>
                </w:p>
                <w:p w14:paraId="796111BE" w14:textId="77777777" w:rsidR="004D2D54" w:rsidRDefault="004D2D54" w:rsidP="00F35BB5">
                  <w:pPr>
                    <w:spacing w:after="0" w:line="240" w:lineRule="auto"/>
                    <w:jc w:val="center"/>
                    <w:rPr>
                      <w:sz w:val="20"/>
                      <w:szCs w:val="20"/>
                    </w:rPr>
                  </w:pPr>
                </w:p>
                <w:p w14:paraId="4D4E8453" w14:textId="5CBA7D2D" w:rsidR="00F35BB5" w:rsidRPr="00BD174E" w:rsidRDefault="005A78B3" w:rsidP="00F35BB5">
                  <w:pPr>
                    <w:spacing w:after="0" w:line="240" w:lineRule="auto"/>
                    <w:jc w:val="center"/>
                    <w:rPr>
                      <w:sz w:val="20"/>
                      <w:szCs w:val="20"/>
                    </w:rPr>
                  </w:pPr>
                  <w:r w:rsidRPr="00BD174E">
                    <w:rPr>
                      <w:sz w:val="20"/>
                      <w:szCs w:val="20"/>
                    </w:rPr>
                    <w:t>Receives f</w:t>
                  </w:r>
                  <w:r w:rsidR="00F35BB5" w:rsidRPr="00BD174E">
                    <w:rPr>
                      <w:sz w:val="20"/>
                      <w:szCs w:val="20"/>
                    </w:rPr>
                    <w:t>loat leg</w:t>
                  </w:r>
                </w:p>
              </w:txbxContent>
            </v:textbox>
            <w10:wrap type="square"/>
          </v:shape>
        </w:pict>
      </w:r>
    </w:p>
    <w:p w14:paraId="6F06E2E7" w14:textId="7ECE3989" w:rsidR="000C05A7" w:rsidRPr="00816DDD" w:rsidRDefault="003C4EC4" w:rsidP="0039268D">
      <w:pPr>
        <w:spacing w:after="0" w:line="240" w:lineRule="auto"/>
        <w:rPr>
          <w:szCs w:val="24"/>
        </w:rPr>
      </w:pPr>
      <w:r>
        <w:rPr>
          <w:noProof/>
        </w:rPr>
        <w:pict w14:anchorId="3DFCB65B">
          <v:shape id="Straight Arrow Connector 5" o:spid="_x0000_s1037" type="#_x0000_t32" style="position:absolute;margin-left:162.45pt;margin-top:4.85pt;width:187.2pt;height: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" strokecolor="black [3213]" strokeweight="2pt">
            <v:stroke endarrow="block" joinstyle="miter"/>
          </v:shape>
        </w:pict>
      </w:r>
    </w:p>
    <w:p w14:paraId="677E83C5" w14:textId="47A6189B" w:rsidR="000C05A7" w:rsidRPr="00816DDD" w:rsidRDefault="000C05A7" w:rsidP="0039268D">
      <w:pPr>
        <w:spacing w:after="0" w:line="240" w:lineRule="auto"/>
        <w:rPr>
          <w:szCs w:val="24"/>
        </w:rPr>
      </w:pPr>
    </w:p>
    <w:p w14:paraId="2F66833D" w14:textId="77777777" w:rsidR="000C05A7" w:rsidRPr="00816DDD" w:rsidRDefault="000C05A7" w:rsidP="0039268D">
      <w:pPr>
        <w:spacing w:after="0" w:line="240" w:lineRule="auto"/>
        <w:rPr>
          <w:szCs w:val="24"/>
        </w:rPr>
      </w:pPr>
    </w:p>
    <w:p w14:paraId="0EC7F4C6" w14:textId="77777777" w:rsidR="00F35BB5" w:rsidRPr="00816DDD" w:rsidRDefault="00F35BB5" w:rsidP="0039268D">
      <w:pPr>
        <w:spacing w:after="0" w:line="240" w:lineRule="auto"/>
        <w:rPr>
          <w:szCs w:val="24"/>
        </w:rPr>
      </w:pPr>
    </w:p>
    <w:p w14:paraId="573D5933" w14:textId="77777777" w:rsidR="007763B3" w:rsidRPr="00816DDD" w:rsidRDefault="007763B3" w:rsidP="000F1BB0">
      <w:pPr>
        <w:spacing w:after="0" w:line="240" w:lineRule="auto"/>
        <w:rPr>
          <w:szCs w:val="24"/>
        </w:rPr>
      </w:pPr>
    </w:p>
    <w:p w14:paraId="555D77A6" w14:textId="77777777" w:rsidR="004D2D54" w:rsidRDefault="004D2D54" w:rsidP="00D51660">
      <w:pPr>
        <w:spacing w:after="0" w:line="240" w:lineRule="auto"/>
        <w:ind w:right="-36"/>
        <w:rPr>
          <w:szCs w:val="24"/>
        </w:rPr>
      </w:pPr>
    </w:p>
    <w:p w14:paraId="64665E2B" w14:textId="77777777" w:rsidR="004D2D54" w:rsidRDefault="004D2D54" w:rsidP="00D51660">
      <w:pPr>
        <w:spacing w:after="0" w:line="240" w:lineRule="auto"/>
        <w:ind w:right="-36"/>
        <w:rPr>
          <w:szCs w:val="24"/>
        </w:rPr>
      </w:pPr>
    </w:p>
    <w:p w14:paraId="289121D9" w14:textId="7DC407A6" w:rsidR="000F1BB0" w:rsidRPr="00816DDD" w:rsidRDefault="000F1BB0" w:rsidP="00D51660">
      <w:pPr>
        <w:spacing w:after="0" w:line="240" w:lineRule="auto"/>
        <w:ind w:right="-36"/>
        <w:rPr>
          <w:szCs w:val="24"/>
        </w:rPr>
      </w:pPr>
      <w:r w:rsidRPr="00816DDD">
        <w:rPr>
          <w:rFonts w:hint="cs"/>
          <w:szCs w:val="24"/>
        </w:rPr>
        <w:t>Like with a currency swap, a company</w:t>
      </w:r>
      <w:r w:rsidR="00C33027" w:rsidRPr="00816DDD">
        <w:rPr>
          <w:szCs w:val="24"/>
        </w:rPr>
        <w:t xml:space="preserve"> that </w:t>
      </w:r>
      <w:r w:rsidRPr="00816DDD">
        <w:rPr>
          <w:rFonts w:hint="cs"/>
          <w:szCs w:val="24"/>
        </w:rPr>
        <w:t>want</w:t>
      </w:r>
      <w:r w:rsidR="009C1BF3" w:rsidRPr="00816DDD">
        <w:rPr>
          <w:szCs w:val="24"/>
        </w:rPr>
        <w:t>s</w:t>
      </w:r>
      <w:r w:rsidRPr="00816DDD">
        <w:rPr>
          <w:rFonts w:hint="cs"/>
          <w:szCs w:val="24"/>
        </w:rPr>
        <w:t xml:space="preserve"> to negotiate an interest rate swap approaches a dealer, usually a bank, who arranges an offsetting transaction with another </w:t>
      </w:r>
      <w:r w:rsidR="0074596A" w:rsidRPr="00816DDD">
        <w:rPr>
          <w:szCs w:val="24"/>
        </w:rPr>
        <w:t>party</w:t>
      </w:r>
      <w:r w:rsidR="00D32C6D" w:rsidRPr="00816DDD">
        <w:rPr>
          <w:rFonts w:hint="cs"/>
          <w:szCs w:val="24"/>
        </w:rPr>
        <w:t xml:space="preserve">.  </w:t>
      </w:r>
      <w:r w:rsidR="000C05A7" w:rsidRPr="00816DDD">
        <w:rPr>
          <w:szCs w:val="24"/>
        </w:rPr>
        <w:t>These swaps trade over</w:t>
      </w:r>
      <w:r w:rsidR="009A7EBD" w:rsidRPr="00816DDD">
        <w:rPr>
          <w:szCs w:val="24"/>
        </w:rPr>
        <w:t xml:space="preserve"> </w:t>
      </w:r>
      <w:r w:rsidR="000C05A7" w:rsidRPr="00816DDD">
        <w:rPr>
          <w:szCs w:val="24"/>
        </w:rPr>
        <w:t>the</w:t>
      </w:r>
      <w:r w:rsidR="009A7EBD" w:rsidRPr="00816DDD">
        <w:rPr>
          <w:szCs w:val="24"/>
        </w:rPr>
        <w:t xml:space="preserve"> </w:t>
      </w:r>
      <w:r w:rsidR="000C05A7" w:rsidRPr="00816DDD">
        <w:rPr>
          <w:szCs w:val="24"/>
        </w:rPr>
        <w:t>counter</w:t>
      </w:r>
      <w:r w:rsidR="007316CE" w:rsidRPr="00816DDD">
        <w:rPr>
          <w:szCs w:val="24"/>
        </w:rPr>
        <w:t xml:space="preserve">, </w:t>
      </w:r>
      <w:r w:rsidR="000C05A7" w:rsidRPr="00816DDD">
        <w:rPr>
          <w:szCs w:val="24"/>
        </w:rPr>
        <w:t xml:space="preserve">so they can be customized to meet the requirements of the counterparties.  </w:t>
      </w:r>
      <w:r w:rsidR="00B6461D" w:rsidRPr="00816DDD">
        <w:rPr>
          <w:szCs w:val="24"/>
        </w:rPr>
        <w:t xml:space="preserve">A </w:t>
      </w:r>
      <w:r w:rsidR="00BE0915" w:rsidRPr="00816DDD">
        <w:rPr>
          <w:rFonts w:hint="cs"/>
          <w:szCs w:val="24"/>
        </w:rPr>
        <w:t>fixed rate or swap rate is</w:t>
      </w:r>
      <w:r w:rsidR="00EE216F" w:rsidRPr="00816DDD">
        <w:rPr>
          <w:rFonts w:hint="cs"/>
          <w:szCs w:val="24"/>
        </w:rPr>
        <w:t xml:space="preserve"> quoted by the dealer when the swap is </w:t>
      </w:r>
      <w:r w:rsidR="00114AF5" w:rsidRPr="00816DDD">
        <w:rPr>
          <w:szCs w:val="24"/>
        </w:rPr>
        <w:t xml:space="preserve">first </w:t>
      </w:r>
      <w:r w:rsidR="005A6781" w:rsidRPr="00816DDD">
        <w:rPr>
          <w:szCs w:val="24"/>
        </w:rPr>
        <w:t>negotiated,</w:t>
      </w:r>
      <w:r w:rsidR="00EE216F" w:rsidRPr="00816DDD">
        <w:rPr>
          <w:rFonts w:hint="cs"/>
          <w:szCs w:val="24"/>
        </w:rPr>
        <w:t xml:space="preserve"> </w:t>
      </w:r>
      <w:r w:rsidR="00B6461D" w:rsidRPr="00816DDD">
        <w:rPr>
          <w:szCs w:val="24"/>
        </w:rPr>
        <w:t>which</w:t>
      </w:r>
      <w:r w:rsidR="00BE0915" w:rsidRPr="00816DDD">
        <w:rPr>
          <w:rFonts w:hint="cs"/>
          <w:szCs w:val="24"/>
        </w:rPr>
        <w:t xml:space="preserve"> does not change</w:t>
      </w:r>
      <w:r w:rsidR="009C1BF3" w:rsidRPr="00816DDD">
        <w:rPr>
          <w:szCs w:val="24"/>
        </w:rPr>
        <w:t xml:space="preserve"> over the life of the agreement</w:t>
      </w:r>
      <w:r w:rsidR="00EE216F" w:rsidRPr="00816DDD">
        <w:rPr>
          <w:rFonts w:hint="cs"/>
          <w:szCs w:val="24"/>
        </w:rPr>
        <w:t xml:space="preserve">.  </w:t>
      </w:r>
      <w:r w:rsidR="003E30D7" w:rsidRPr="00816DDD">
        <w:rPr>
          <w:szCs w:val="24"/>
        </w:rPr>
        <w:t>Th</w:t>
      </w:r>
      <w:r w:rsidR="005E47CB" w:rsidRPr="00816DDD">
        <w:rPr>
          <w:szCs w:val="24"/>
        </w:rPr>
        <w:t xml:space="preserve">is </w:t>
      </w:r>
      <w:r w:rsidR="00B6461D" w:rsidRPr="00816DDD">
        <w:rPr>
          <w:szCs w:val="24"/>
        </w:rPr>
        <w:t>rate is</w:t>
      </w:r>
      <w:r w:rsidR="001305D2" w:rsidRPr="00816DDD">
        <w:rPr>
          <w:szCs w:val="24"/>
        </w:rPr>
        <w:t xml:space="preserve"> determined b</w:t>
      </w:r>
      <w:r w:rsidR="005C4F76" w:rsidRPr="00816DDD">
        <w:rPr>
          <w:szCs w:val="24"/>
        </w:rPr>
        <w:t xml:space="preserve">y the </w:t>
      </w:r>
      <w:r w:rsidR="001F7141" w:rsidRPr="00816DDD">
        <w:rPr>
          <w:szCs w:val="24"/>
        </w:rPr>
        <w:t xml:space="preserve">shape of the </w:t>
      </w:r>
      <w:r w:rsidR="009C1BF3" w:rsidRPr="00816DDD">
        <w:rPr>
          <w:szCs w:val="24"/>
        </w:rPr>
        <w:t xml:space="preserve">current </w:t>
      </w:r>
      <w:r w:rsidR="005C4F76" w:rsidRPr="00816DDD">
        <w:rPr>
          <w:szCs w:val="24"/>
        </w:rPr>
        <w:t>yield curve</w:t>
      </w:r>
      <w:r w:rsidR="00EE216F" w:rsidRPr="00816DDD">
        <w:rPr>
          <w:rFonts w:hint="cs"/>
          <w:szCs w:val="24"/>
          <w:shd w:val="clear" w:color="auto" w:fill="FFFFFF"/>
        </w:rPr>
        <w:t>.  If short-term rates are expected to rise</w:t>
      </w:r>
      <w:r w:rsidR="003E30D7" w:rsidRPr="00816DDD">
        <w:rPr>
          <w:szCs w:val="24"/>
          <w:shd w:val="clear" w:color="auto" w:fill="FFFFFF"/>
        </w:rPr>
        <w:t xml:space="preserve">, </w:t>
      </w:r>
      <w:r w:rsidR="00EE216F" w:rsidRPr="00816DDD">
        <w:rPr>
          <w:rFonts w:hint="cs"/>
          <w:szCs w:val="24"/>
          <w:shd w:val="clear" w:color="auto" w:fill="FFFFFF"/>
        </w:rPr>
        <w:t xml:space="preserve">the swap rate </w:t>
      </w:r>
      <w:r w:rsidR="00DF1983" w:rsidRPr="00816DDD">
        <w:rPr>
          <w:szCs w:val="24"/>
          <w:shd w:val="clear" w:color="auto" w:fill="FFFFFF"/>
        </w:rPr>
        <w:t xml:space="preserve">is </w:t>
      </w:r>
      <w:r w:rsidR="00EE216F" w:rsidRPr="00816DDD">
        <w:rPr>
          <w:rFonts w:hint="cs"/>
          <w:szCs w:val="24"/>
          <w:shd w:val="clear" w:color="auto" w:fill="FFFFFF"/>
        </w:rPr>
        <w:t>higher as the receiver will pay</w:t>
      </w:r>
      <w:r w:rsidR="00412714" w:rsidRPr="00816DDD">
        <w:rPr>
          <w:szCs w:val="24"/>
          <w:shd w:val="clear" w:color="auto" w:fill="FFFFFF"/>
        </w:rPr>
        <w:t xml:space="preserve"> </w:t>
      </w:r>
      <w:r w:rsidR="005C4F76" w:rsidRPr="00816DDD">
        <w:rPr>
          <w:szCs w:val="24"/>
          <w:shd w:val="clear" w:color="auto" w:fill="FFFFFF"/>
        </w:rPr>
        <w:t>higher floating rate</w:t>
      </w:r>
      <w:r w:rsidR="00412714" w:rsidRPr="00816DDD">
        <w:rPr>
          <w:szCs w:val="24"/>
          <w:shd w:val="clear" w:color="auto" w:fill="FFFFFF"/>
        </w:rPr>
        <w:t>s</w:t>
      </w:r>
      <w:r w:rsidR="00EE216F" w:rsidRPr="00816DDD">
        <w:rPr>
          <w:rFonts w:hint="cs"/>
          <w:szCs w:val="24"/>
          <w:shd w:val="clear" w:color="auto" w:fill="FFFFFF"/>
        </w:rPr>
        <w:t>, but if</w:t>
      </w:r>
      <w:r w:rsidR="00412714" w:rsidRPr="00816DDD">
        <w:rPr>
          <w:szCs w:val="24"/>
          <w:shd w:val="clear" w:color="auto" w:fill="FFFFFF"/>
        </w:rPr>
        <w:t xml:space="preserve"> short-term rates </w:t>
      </w:r>
      <w:r w:rsidR="00EE216F" w:rsidRPr="00816DDD">
        <w:rPr>
          <w:rFonts w:hint="cs"/>
          <w:szCs w:val="24"/>
          <w:shd w:val="clear" w:color="auto" w:fill="FFFFFF"/>
        </w:rPr>
        <w:t>are expected to fall</w:t>
      </w:r>
      <w:r w:rsidR="003E30D7" w:rsidRPr="00816DDD">
        <w:rPr>
          <w:szCs w:val="24"/>
          <w:shd w:val="clear" w:color="auto" w:fill="FFFFFF"/>
        </w:rPr>
        <w:t xml:space="preserve">, </w:t>
      </w:r>
      <w:r w:rsidR="00EE216F" w:rsidRPr="00816DDD">
        <w:rPr>
          <w:rFonts w:hint="cs"/>
          <w:szCs w:val="24"/>
          <w:shd w:val="clear" w:color="auto" w:fill="FFFFFF"/>
        </w:rPr>
        <w:t>the swap rate will be lower</w:t>
      </w:r>
      <w:r w:rsidR="005C4F76" w:rsidRPr="00816DDD">
        <w:rPr>
          <w:szCs w:val="24"/>
          <w:shd w:val="clear" w:color="auto" w:fill="FFFFFF"/>
        </w:rPr>
        <w:t xml:space="preserve"> as the receiver will pay less</w:t>
      </w:r>
      <w:r w:rsidR="00412714" w:rsidRPr="00816DDD">
        <w:rPr>
          <w:szCs w:val="24"/>
          <w:shd w:val="clear" w:color="auto" w:fill="FFFFFF"/>
        </w:rPr>
        <w:t xml:space="preserve"> interest</w:t>
      </w:r>
      <w:r w:rsidR="00EE216F" w:rsidRPr="00816DDD">
        <w:rPr>
          <w:rFonts w:hint="cs"/>
          <w:szCs w:val="24"/>
          <w:shd w:val="clear" w:color="auto" w:fill="FFFFFF"/>
        </w:rPr>
        <w:t>.</w:t>
      </w:r>
      <w:r w:rsidR="00EE216F" w:rsidRPr="00816DDD">
        <w:rPr>
          <w:rFonts w:hint="cs"/>
          <w:szCs w:val="24"/>
        </w:rPr>
        <w:t xml:space="preserve"> </w:t>
      </w:r>
      <w:r w:rsidR="00537E6E" w:rsidRPr="00816DDD">
        <w:rPr>
          <w:szCs w:val="24"/>
        </w:rPr>
        <w:t xml:space="preserve">The floating rate </w:t>
      </w:r>
      <w:r w:rsidR="00AC48BC" w:rsidRPr="00816DDD">
        <w:rPr>
          <w:szCs w:val="24"/>
        </w:rPr>
        <w:t xml:space="preserve">is also quoted by the dealer </w:t>
      </w:r>
      <w:r w:rsidR="006363F6" w:rsidRPr="00816DDD">
        <w:rPr>
          <w:szCs w:val="24"/>
        </w:rPr>
        <w:t xml:space="preserve">initially, </w:t>
      </w:r>
      <w:r w:rsidR="00AC48BC" w:rsidRPr="00816DDD">
        <w:rPr>
          <w:szCs w:val="24"/>
        </w:rPr>
        <w:t xml:space="preserve">but it </w:t>
      </w:r>
      <w:r w:rsidR="005C4F76" w:rsidRPr="00816DDD">
        <w:rPr>
          <w:szCs w:val="24"/>
        </w:rPr>
        <w:t xml:space="preserve">varies </w:t>
      </w:r>
      <w:r w:rsidR="00AC48BC" w:rsidRPr="00816DDD">
        <w:rPr>
          <w:szCs w:val="24"/>
        </w:rPr>
        <w:t xml:space="preserve">over the life of the </w:t>
      </w:r>
      <w:r w:rsidR="006363F6" w:rsidRPr="00816DDD">
        <w:rPr>
          <w:szCs w:val="24"/>
        </w:rPr>
        <w:t>swap</w:t>
      </w:r>
      <w:r w:rsidR="00E03E69" w:rsidRPr="00816DDD">
        <w:rPr>
          <w:szCs w:val="24"/>
        </w:rPr>
        <w:t xml:space="preserve"> </w:t>
      </w:r>
      <w:r w:rsidR="005C4F76" w:rsidRPr="00816DDD">
        <w:rPr>
          <w:szCs w:val="24"/>
        </w:rPr>
        <w:t xml:space="preserve">as </w:t>
      </w:r>
      <w:r w:rsidR="00AC48BC" w:rsidRPr="00816DDD">
        <w:rPr>
          <w:szCs w:val="24"/>
        </w:rPr>
        <w:t>market conditions</w:t>
      </w:r>
      <w:r w:rsidR="005C4F76" w:rsidRPr="00816DDD">
        <w:rPr>
          <w:szCs w:val="24"/>
        </w:rPr>
        <w:t xml:space="preserve"> change</w:t>
      </w:r>
      <w:r w:rsidR="00AC48BC" w:rsidRPr="00816DDD">
        <w:rPr>
          <w:szCs w:val="24"/>
        </w:rPr>
        <w:t xml:space="preserve">.  </w:t>
      </w:r>
      <w:r w:rsidR="006363F6" w:rsidRPr="00816DDD">
        <w:rPr>
          <w:szCs w:val="24"/>
        </w:rPr>
        <w:t xml:space="preserve">In Canada, the </w:t>
      </w:r>
      <w:r w:rsidR="00FF1B35" w:rsidRPr="00816DDD">
        <w:rPr>
          <w:szCs w:val="24"/>
        </w:rPr>
        <w:t xml:space="preserve">benchmark for the </w:t>
      </w:r>
      <w:r w:rsidR="006363F6" w:rsidRPr="00816DDD">
        <w:rPr>
          <w:szCs w:val="24"/>
        </w:rPr>
        <w:t>floating rate</w:t>
      </w:r>
      <w:r w:rsidR="00FF1B35" w:rsidRPr="00816DDD">
        <w:rPr>
          <w:szCs w:val="24"/>
        </w:rPr>
        <w:t xml:space="preserve"> </w:t>
      </w:r>
      <w:r w:rsidR="006363F6" w:rsidRPr="00816DDD">
        <w:rPr>
          <w:szCs w:val="24"/>
        </w:rPr>
        <w:t>is the banker’s acceptance rate plus an adjustment</w:t>
      </w:r>
      <w:r w:rsidR="005528F8" w:rsidRPr="00816DDD">
        <w:rPr>
          <w:szCs w:val="24"/>
        </w:rPr>
        <w:t xml:space="preserve">.  The adjustment ensures </w:t>
      </w:r>
      <w:r w:rsidR="006363F6" w:rsidRPr="00816DDD">
        <w:rPr>
          <w:szCs w:val="24"/>
        </w:rPr>
        <w:t xml:space="preserve">the </w:t>
      </w:r>
      <w:r w:rsidR="00530A13" w:rsidRPr="00816DDD">
        <w:rPr>
          <w:szCs w:val="24"/>
        </w:rPr>
        <w:t>swap rate</w:t>
      </w:r>
      <w:r w:rsidR="006363F6" w:rsidRPr="00816DDD">
        <w:rPr>
          <w:szCs w:val="24"/>
        </w:rPr>
        <w:t xml:space="preserve"> and floating rate are </w:t>
      </w:r>
      <w:r w:rsidR="00FF1B35" w:rsidRPr="00816DDD">
        <w:rPr>
          <w:szCs w:val="24"/>
        </w:rPr>
        <w:t xml:space="preserve">initially </w:t>
      </w:r>
      <w:r w:rsidR="00446C5F" w:rsidRPr="00816DDD">
        <w:rPr>
          <w:szCs w:val="24"/>
        </w:rPr>
        <w:t>equal</w:t>
      </w:r>
      <w:r w:rsidR="00AA0B27">
        <w:rPr>
          <w:szCs w:val="24"/>
        </w:rPr>
        <w:t>,</w:t>
      </w:r>
      <w:r w:rsidR="006363F6" w:rsidRPr="00816DDD">
        <w:rPr>
          <w:szCs w:val="24"/>
        </w:rPr>
        <w:t xml:space="preserve"> </w:t>
      </w:r>
      <w:r w:rsidR="00530A13" w:rsidRPr="00816DDD">
        <w:rPr>
          <w:szCs w:val="24"/>
        </w:rPr>
        <w:t>as the counterparties will only swap</w:t>
      </w:r>
      <w:r w:rsidR="00FF1B35" w:rsidRPr="00816DDD">
        <w:rPr>
          <w:szCs w:val="24"/>
        </w:rPr>
        <w:t xml:space="preserve"> interest payments</w:t>
      </w:r>
      <w:r w:rsidR="00530A13" w:rsidRPr="00816DDD">
        <w:rPr>
          <w:szCs w:val="24"/>
        </w:rPr>
        <w:t xml:space="preserve"> if they are worth the same at the be</w:t>
      </w:r>
      <w:r w:rsidR="00FF1B35" w:rsidRPr="00816DDD">
        <w:rPr>
          <w:szCs w:val="24"/>
        </w:rPr>
        <w:t>ginning of the agreement.</w:t>
      </w:r>
    </w:p>
    <w:p w14:paraId="775D04A9" w14:textId="77777777" w:rsidR="00B3245F" w:rsidRPr="00816DDD" w:rsidRDefault="00B3245F" w:rsidP="00B3245F">
      <w:pPr>
        <w:spacing w:after="0" w:line="240" w:lineRule="auto"/>
        <w:jc w:val="center"/>
        <w:rPr>
          <w:szCs w:val="24"/>
        </w:rPr>
      </w:pPr>
    </w:p>
    <w:p w14:paraId="510FC431" w14:textId="18492B78" w:rsidR="00B3245F" w:rsidRPr="00816DDD" w:rsidRDefault="00B3245F" w:rsidP="00B3245F">
      <w:pPr>
        <w:spacing w:after="0" w:line="240" w:lineRule="auto"/>
        <w:jc w:val="center"/>
        <w:rPr>
          <w:szCs w:val="24"/>
        </w:rPr>
      </w:pPr>
      <w:r w:rsidRPr="00816DDD">
        <w:rPr>
          <w:szCs w:val="24"/>
        </w:rPr>
        <w:lastRenderedPageBreak/>
        <w:t xml:space="preserve">PV of interest on the floating-rate loan = PV of interest on the </w:t>
      </w:r>
      <w:r w:rsidR="008F7037">
        <w:rPr>
          <w:szCs w:val="24"/>
        </w:rPr>
        <w:t>fixed-rate</w:t>
      </w:r>
      <w:r w:rsidRPr="00816DDD">
        <w:rPr>
          <w:szCs w:val="24"/>
        </w:rPr>
        <w:t xml:space="preserve"> loan</w:t>
      </w:r>
    </w:p>
    <w:p w14:paraId="7DF6B4F8" w14:textId="77777777" w:rsidR="002D785C" w:rsidRPr="00816DDD" w:rsidRDefault="002D785C" w:rsidP="000E660D">
      <w:pPr>
        <w:spacing w:after="0" w:line="240" w:lineRule="auto"/>
        <w:rPr>
          <w:szCs w:val="24"/>
        </w:rPr>
      </w:pPr>
    </w:p>
    <w:p w14:paraId="1CF77472" w14:textId="16D3A11F" w:rsidR="00271CF2" w:rsidRPr="00816DDD" w:rsidRDefault="00475B9D" w:rsidP="000E660D">
      <w:pPr>
        <w:spacing w:after="0" w:line="240" w:lineRule="auto"/>
        <w:rPr>
          <w:szCs w:val="24"/>
        </w:rPr>
      </w:pPr>
      <w:r w:rsidRPr="00816DDD">
        <w:rPr>
          <w:szCs w:val="24"/>
        </w:rPr>
        <w:t xml:space="preserve">Consider </w:t>
      </w:r>
      <w:r w:rsidR="00C82DFD" w:rsidRPr="00816DDD">
        <w:rPr>
          <w:szCs w:val="24"/>
        </w:rPr>
        <w:t>a</w:t>
      </w:r>
      <w:r w:rsidR="009C1BF3" w:rsidRPr="00816DDD">
        <w:rPr>
          <w:szCs w:val="24"/>
        </w:rPr>
        <w:t>n example of a</w:t>
      </w:r>
      <w:r w:rsidR="00C82DFD" w:rsidRPr="00816DDD">
        <w:rPr>
          <w:szCs w:val="24"/>
        </w:rPr>
        <w:t xml:space="preserve"> </w:t>
      </w:r>
      <w:r w:rsidR="000F1BB0" w:rsidRPr="00816DDD">
        <w:rPr>
          <w:szCs w:val="24"/>
        </w:rPr>
        <w:t xml:space="preserve">fixed-for-floating swap.  </w:t>
      </w:r>
      <w:bookmarkStart w:id="19" w:name="_Hlk140764870"/>
      <w:r w:rsidR="004D5A30" w:rsidRPr="00816DDD">
        <w:rPr>
          <w:szCs w:val="24"/>
        </w:rPr>
        <w:t xml:space="preserve">Firm A </w:t>
      </w:r>
      <w:r w:rsidR="00831F22" w:rsidRPr="00816DDD">
        <w:rPr>
          <w:szCs w:val="24"/>
        </w:rPr>
        <w:t xml:space="preserve">has a </w:t>
      </w:r>
      <w:r w:rsidR="00FC7952" w:rsidRPr="00816DDD">
        <w:rPr>
          <w:szCs w:val="24"/>
        </w:rPr>
        <w:t>5</w:t>
      </w:r>
      <w:r w:rsidR="00831F22" w:rsidRPr="00816DDD">
        <w:rPr>
          <w:szCs w:val="24"/>
        </w:rPr>
        <w:t xml:space="preserve">-year, CAD </w:t>
      </w:r>
      <w:r w:rsidR="00DC06FC" w:rsidRPr="00816DDD">
        <w:rPr>
          <w:szCs w:val="24"/>
        </w:rPr>
        <w:t>5</w:t>
      </w:r>
      <w:r w:rsidR="00831F22" w:rsidRPr="00816DDD">
        <w:rPr>
          <w:szCs w:val="24"/>
        </w:rPr>
        <w:t xml:space="preserve">00,000 </w:t>
      </w:r>
      <w:r w:rsidR="004D5A30" w:rsidRPr="00816DDD">
        <w:rPr>
          <w:szCs w:val="24"/>
        </w:rPr>
        <w:t xml:space="preserve">floating-rate </w:t>
      </w:r>
      <w:r w:rsidR="00FF1B35" w:rsidRPr="00816DDD">
        <w:rPr>
          <w:szCs w:val="24"/>
        </w:rPr>
        <w:t xml:space="preserve">commercial </w:t>
      </w:r>
      <w:r w:rsidR="004D5A30" w:rsidRPr="00816DDD">
        <w:rPr>
          <w:szCs w:val="24"/>
        </w:rPr>
        <w:t xml:space="preserve">loan at </w:t>
      </w:r>
      <w:r w:rsidR="004514A3" w:rsidRPr="00816DDD">
        <w:rPr>
          <w:szCs w:val="24"/>
        </w:rPr>
        <w:t>the banker’s acceptance rate plus</w:t>
      </w:r>
      <w:r w:rsidR="00831F22" w:rsidRPr="00816DDD">
        <w:rPr>
          <w:szCs w:val="24"/>
        </w:rPr>
        <w:t xml:space="preserve"> </w:t>
      </w:r>
      <w:r w:rsidR="008575FC" w:rsidRPr="00816DDD">
        <w:rPr>
          <w:szCs w:val="24"/>
        </w:rPr>
        <w:t>1</w:t>
      </w:r>
      <w:r w:rsidR="00831F22" w:rsidRPr="00816DDD">
        <w:rPr>
          <w:szCs w:val="24"/>
        </w:rPr>
        <w:t>00 bps</w:t>
      </w:r>
      <w:r w:rsidR="004D5A30" w:rsidRPr="00816DDD">
        <w:rPr>
          <w:szCs w:val="24"/>
        </w:rPr>
        <w:t xml:space="preserve">.  </w:t>
      </w:r>
      <w:r w:rsidR="00C82DFD" w:rsidRPr="00816DDD">
        <w:rPr>
          <w:szCs w:val="24"/>
        </w:rPr>
        <w:t xml:space="preserve">The company </w:t>
      </w:r>
      <w:r w:rsidR="00775DC8" w:rsidRPr="00816DDD">
        <w:rPr>
          <w:szCs w:val="24"/>
        </w:rPr>
        <w:t xml:space="preserve">believes interest rates </w:t>
      </w:r>
      <w:r w:rsidR="00FF1B35" w:rsidRPr="00816DDD">
        <w:rPr>
          <w:szCs w:val="24"/>
        </w:rPr>
        <w:t>will</w:t>
      </w:r>
      <w:r w:rsidR="00775DC8" w:rsidRPr="00816DDD">
        <w:rPr>
          <w:szCs w:val="24"/>
        </w:rPr>
        <w:t xml:space="preserve"> rise, so it contacts a swap dealer to exchange its floating-rate loan for a fixed-rate loan</w:t>
      </w:r>
      <w:r w:rsidR="00F85B43" w:rsidRPr="00816DDD">
        <w:rPr>
          <w:szCs w:val="24"/>
        </w:rPr>
        <w:t xml:space="preserve"> with Firm B</w:t>
      </w:r>
      <w:r w:rsidR="00AA0B27">
        <w:rPr>
          <w:szCs w:val="24"/>
        </w:rPr>
        <w:t>,</w:t>
      </w:r>
      <w:r w:rsidR="00E05836" w:rsidRPr="00816DDD">
        <w:rPr>
          <w:szCs w:val="24"/>
        </w:rPr>
        <w:t xml:space="preserve"> </w:t>
      </w:r>
      <w:r w:rsidR="00AA0B27">
        <w:rPr>
          <w:szCs w:val="24"/>
        </w:rPr>
        <w:t>which</w:t>
      </w:r>
      <w:r w:rsidR="00E05836" w:rsidRPr="00816DDD">
        <w:rPr>
          <w:szCs w:val="24"/>
        </w:rPr>
        <w:t xml:space="preserve"> is paying 6.</w:t>
      </w:r>
      <w:r w:rsidR="008575FC" w:rsidRPr="00816DDD">
        <w:rPr>
          <w:szCs w:val="24"/>
        </w:rPr>
        <w:t>11</w:t>
      </w:r>
      <w:r w:rsidR="00E05836" w:rsidRPr="00816DDD">
        <w:rPr>
          <w:szCs w:val="24"/>
        </w:rPr>
        <w:t>% on a fixed-rate loan</w:t>
      </w:r>
      <w:r w:rsidR="00775DC8" w:rsidRPr="00816DDD">
        <w:rPr>
          <w:szCs w:val="24"/>
        </w:rPr>
        <w:t xml:space="preserve">.  The dealer </w:t>
      </w:r>
      <w:r w:rsidR="00C82DFD" w:rsidRPr="00816DDD">
        <w:rPr>
          <w:szCs w:val="24"/>
        </w:rPr>
        <w:t xml:space="preserve">quotes a swap rate of </w:t>
      </w:r>
      <w:r w:rsidRPr="00816DDD">
        <w:rPr>
          <w:szCs w:val="24"/>
        </w:rPr>
        <w:t>6</w:t>
      </w:r>
      <w:r w:rsidR="00831F22" w:rsidRPr="00816DDD">
        <w:rPr>
          <w:szCs w:val="24"/>
        </w:rPr>
        <w:t>.11</w:t>
      </w:r>
      <w:r w:rsidR="00C82DFD" w:rsidRPr="00816DDD">
        <w:rPr>
          <w:szCs w:val="24"/>
        </w:rPr>
        <w:t xml:space="preserve">% and a </w:t>
      </w:r>
      <w:r w:rsidR="008F7037">
        <w:rPr>
          <w:szCs w:val="24"/>
        </w:rPr>
        <w:t>floating rate</w:t>
      </w:r>
      <w:r w:rsidR="00C82DFD" w:rsidRPr="00816DDD">
        <w:rPr>
          <w:szCs w:val="24"/>
        </w:rPr>
        <w:t xml:space="preserve"> </w:t>
      </w:r>
      <w:r w:rsidR="00831F22" w:rsidRPr="00816DDD">
        <w:rPr>
          <w:szCs w:val="24"/>
        </w:rPr>
        <w:t xml:space="preserve">equal to </w:t>
      </w:r>
      <w:r w:rsidRPr="00816DDD">
        <w:rPr>
          <w:szCs w:val="24"/>
        </w:rPr>
        <w:t xml:space="preserve">the </w:t>
      </w:r>
      <w:r w:rsidR="00FF1B35" w:rsidRPr="00816DDD">
        <w:rPr>
          <w:szCs w:val="24"/>
        </w:rPr>
        <w:t xml:space="preserve">current </w:t>
      </w:r>
      <w:r w:rsidR="00C82DFD" w:rsidRPr="00816DDD">
        <w:rPr>
          <w:szCs w:val="24"/>
        </w:rPr>
        <w:t>banker’s accepta</w:t>
      </w:r>
      <w:r w:rsidR="00106FB1" w:rsidRPr="00816DDD">
        <w:rPr>
          <w:szCs w:val="24"/>
        </w:rPr>
        <w:t>nce</w:t>
      </w:r>
      <w:r w:rsidR="00C82DFD" w:rsidRPr="00816DDD">
        <w:rPr>
          <w:szCs w:val="24"/>
        </w:rPr>
        <w:t xml:space="preserve"> plus </w:t>
      </w:r>
      <w:r w:rsidRPr="00816DDD">
        <w:rPr>
          <w:szCs w:val="24"/>
        </w:rPr>
        <w:t>1</w:t>
      </w:r>
      <w:r w:rsidR="00C82DFD" w:rsidRPr="00816DDD">
        <w:rPr>
          <w:szCs w:val="24"/>
        </w:rPr>
        <w:t>00 bps.</w:t>
      </w:r>
      <w:r w:rsidR="00831F22" w:rsidRPr="00816DDD">
        <w:rPr>
          <w:szCs w:val="24"/>
        </w:rPr>
        <w:t xml:space="preserve"> </w:t>
      </w:r>
      <w:r w:rsidR="00C62BBE" w:rsidRPr="00816DDD">
        <w:rPr>
          <w:szCs w:val="24"/>
        </w:rPr>
        <w:t xml:space="preserve">The </w:t>
      </w:r>
      <w:r w:rsidR="00521847" w:rsidRPr="00816DDD">
        <w:rPr>
          <w:szCs w:val="24"/>
        </w:rPr>
        <w:t>swap term</w:t>
      </w:r>
      <w:r w:rsidR="00C62BBE" w:rsidRPr="00816DDD">
        <w:rPr>
          <w:szCs w:val="24"/>
        </w:rPr>
        <w:t xml:space="preserve"> is five years </w:t>
      </w:r>
      <w:r w:rsidR="00521847" w:rsidRPr="00816DDD">
        <w:rPr>
          <w:szCs w:val="24"/>
        </w:rPr>
        <w:t xml:space="preserve">with an annual settlement period. </w:t>
      </w:r>
      <w:r w:rsidRPr="00816DDD">
        <w:rPr>
          <w:szCs w:val="24"/>
        </w:rPr>
        <w:t>The banker’s acceptance rate was 4.90%</w:t>
      </w:r>
      <w:r w:rsidR="006C2602" w:rsidRPr="00816DDD">
        <w:rPr>
          <w:szCs w:val="24"/>
        </w:rPr>
        <w:t xml:space="preserve"> and 5.55%</w:t>
      </w:r>
      <w:r w:rsidRPr="00816DDD">
        <w:rPr>
          <w:szCs w:val="24"/>
        </w:rPr>
        <w:t xml:space="preserve"> </w:t>
      </w:r>
      <w:r w:rsidR="009C1BF3" w:rsidRPr="00816DDD">
        <w:rPr>
          <w:szCs w:val="24"/>
        </w:rPr>
        <w:t xml:space="preserve">at </w:t>
      </w:r>
      <w:r w:rsidRPr="00816DDD">
        <w:rPr>
          <w:szCs w:val="24"/>
        </w:rPr>
        <w:t xml:space="preserve">the </w:t>
      </w:r>
      <w:r w:rsidR="009C1BF3" w:rsidRPr="00816DDD">
        <w:rPr>
          <w:szCs w:val="24"/>
        </w:rPr>
        <w:t xml:space="preserve">end of the </w:t>
      </w:r>
      <w:r w:rsidRPr="00816DDD">
        <w:rPr>
          <w:szCs w:val="24"/>
        </w:rPr>
        <w:t xml:space="preserve">first </w:t>
      </w:r>
      <w:r w:rsidR="006C2602" w:rsidRPr="00816DDD">
        <w:rPr>
          <w:szCs w:val="24"/>
        </w:rPr>
        <w:t xml:space="preserve">and </w:t>
      </w:r>
      <w:r w:rsidRPr="00816DDD">
        <w:rPr>
          <w:szCs w:val="24"/>
        </w:rPr>
        <w:t>second</w:t>
      </w:r>
      <w:r w:rsidR="006C2602" w:rsidRPr="00816DDD">
        <w:rPr>
          <w:szCs w:val="24"/>
        </w:rPr>
        <w:t xml:space="preserve"> </w:t>
      </w:r>
      <w:r w:rsidR="008F7037">
        <w:rPr>
          <w:szCs w:val="24"/>
        </w:rPr>
        <w:t>years</w:t>
      </w:r>
      <w:r w:rsidR="006C2602" w:rsidRPr="00816DDD">
        <w:rPr>
          <w:szCs w:val="24"/>
        </w:rPr>
        <w:t xml:space="preserve"> </w:t>
      </w:r>
      <w:r w:rsidRPr="00816DDD">
        <w:rPr>
          <w:szCs w:val="24"/>
        </w:rPr>
        <w:t xml:space="preserve">of the </w:t>
      </w:r>
      <w:r w:rsidR="00FF1B35" w:rsidRPr="00816DDD">
        <w:rPr>
          <w:szCs w:val="24"/>
        </w:rPr>
        <w:t>agreement</w:t>
      </w:r>
      <w:r w:rsidRPr="00816DDD">
        <w:rPr>
          <w:szCs w:val="24"/>
        </w:rPr>
        <w:t>.</w:t>
      </w:r>
      <w:bookmarkEnd w:id="19"/>
    </w:p>
    <w:p w14:paraId="6013E528" w14:textId="77777777" w:rsidR="00271CF2" w:rsidRPr="00816DDD" w:rsidRDefault="00271CF2" w:rsidP="000E660D">
      <w:pPr>
        <w:spacing w:after="0" w:line="240" w:lineRule="auto"/>
        <w:rPr>
          <w:szCs w:val="24"/>
        </w:rPr>
      </w:pPr>
    </w:p>
    <w:p w14:paraId="14838CEC" w14:textId="0F96CABB" w:rsidR="00E05836" w:rsidRPr="00816DDD" w:rsidRDefault="00E0673C" w:rsidP="000E660D">
      <w:pPr>
        <w:spacing w:after="0" w:line="240" w:lineRule="auto"/>
        <w:rPr>
          <w:szCs w:val="24"/>
        </w:rPr>
      </w:pPr>
      <w:r w:rsidRPr="00816DDD">
        <w:rPr>
          <w:szCs w:val="24"/>
        </w:rPr>
        <w:t>Exhibit 11 shows the net swap and net interest payments for the first two years of the loan.</w:t>
      </w:r>
      <w:r w:rsidR="00271CF2" w:rsidRPr="00816DDD">
        <w:rPr>
          <w:szCs w:val="24"/>
        </w:rPr>
        <w:t xml:space="preserve">  </w:t>
      </w:r>
      <w:r w:rsidR="001F7141" w:rsidRPr="00816DDD">
        <w:rPr>
          <w:szCs w:val="24"/>
        </w:rPr>
        <w:t xml:space="preserve">Firm A (i.e., the payer) </w:t>
      </w:r>
      <w:r w:rsidR="00A70932" w:rsidRPr="00816DDD">
        <w:rPr>
          <w:szCs w:val="24"/>
        </w:rPr>
        <w:t xml:space="preserve">and </w:t>
      </w:r>
      <w:r w:rsidR="001F7141" w:rsidRPr="00816DDD">
        <w:rPr>
          <w:szCs w:val="24"/>
        </w:rPr>
        <w:t xml:space="preserve">Firm B (i.e., the </w:t>
      </w:r>
      <w:r w:rsidR="00A70932" w:rsidRPr="00816DDD">
        <w:rPr>
          <w:szCs w:val="24"/>
        </w:rPr>
        <w:t>receiver</w:t>
      </w:r>
      <w:r w:rsidR="001F7141" w:rsidRPr="00816DDD">
        <w:rPr>
          <w:szCs w:val="24"/>
        </w:rPr>
        <w:t xml:space="preserve">) </w:t>
      </w:r>
      <w:r w:rsidRPr="00816DDD">
        <w:rPr>
          <w:szCs w:val="24"/>
        </w:rPr>
        <w:t>ha</w:t>
      </w:r>
      <w:r w:rsidR="00A70932" w:rsidRPr="00816DDD">
        <w:rPr>
          <w:szCs w:val="24"/>
        </w:rPr>
        <w:t>ve</w:t>
      </w:r>
      <w:r w:rsidRPr="00816DDD">
        <w:rPr>
          <w:szCs w:val="24"/>
        </w:rPr>
        <w:t xml:space="preserve"> successfully </w:t>
      </w:r>
      <w:r w:rsidR="00A70932" w:rsidRPr="00816DDD">
        <w:rPr>
          <w:szCs w:val="24"/>
        </w:rPr>
        <w:t>swapped interest payments and converted their lending agreements into fixed-rate and floating-rate loan</w:t>
      </w:r>
      <w:r w:rsidR="008F7037">
        <w:rPr>
          <w:szCs w:val="24"/>
        </w:rPr>
        <w:t>s</w:t>
      </w:r>
      <w:r w:rsidR="00A70932" w:rsidRPr="00816DDD">
        <w:rPr>
          <w:szCs w:val="24"/>
        </w:rPr>
        <w:t xml:space="preserve">.  </w:t>
      </w:r>
      <w:r w:rsidR="00F06FDB" w:rsidRPr="00816DDD">
        <w:rPr>
          <w:szCs w:val="24"/>
        </w:rPr>
        <w:t>In this example, the swap rate and the fixed rate on Firm B’s loan were the same</w:t>
      </w:r>
      <w:r w:rsidR="00AA0B27">
        <w:rPr>
          <w:szCs w:val="24"/>
        </w:rPr>
        <w:t>,</w:t>
      </w:r>
      <w:r w:rsidR="00F06FDB" w:rsidRPr="00816DDD">
        <w:rPr>
          <w:szCs w:val="24"/>
        </w:rPr>
        <w:t xml:space="preserve"> and so </w:t>
      </w:r>
      <w:r w:rsidR="001F7141" w:rsidRPr="00816DDD">
        <w:rPr>
          <w:szCs w:val="24"/>
        </w:rPr>
        <w:t>were the swap’s</w:t>
      </w:r>
      <w:r w:rsidR="00F06FDB" w:rsidRPr="00816DDD">
        <w:rPr>
          <w:szCs w:val="24"/>
        </w:rPr>
        <w:t xml:space="preserve"> floating rate and the floating rate on Firm A’s loan.  As a result, the swap work</w:t>
      </w:r>
      <w:r w:rsidR="0055364A" w:rsidRPr="00816DDD">
        <w:rPr>
          <w:szCs w:val="24"/>
        </w:rPr>
        <w:t xml:space="preserve">ed </w:t>
      </w:r>
      <w:r w:rsidR="00F06FDB" w:rsidRPr="00816DDD">
        <w:rPr>
          <w:szCs w:val="24"/>
        </w:rPr>
        <w:t>out perfectly</w:t>
      </w:r>
      <w:r w:rsidR="00E95AF1">
        <w:rPr>
          <w:szCs w:val="24"/>
        </w:rPr>
        <w:t>,</w:t>
      </w:r>
      <w:r w:rsidR="00F06FDB" w:rsidRPr="00816DDD">
        <w:rPr>
          <w:szCs w:val="24"/>
        </w:rPr>
        <w:t xml:space="preserve"> with</w:t>
      </w:r>
      <w:r w:rsidR="00271CF2" w:rsidRPr="00816DDD">
        <w:rPr>
          <w:szCs w:val="24"/>
        </w:rPr>
        <w:t xml:space="preserve"> the</w:t>
      </w:r>
      <w:r w:rsidR="00F06FDB" w:rsidRPr="00816DDD">
        <w:rPr>
          <w:szCs w:val="24"/>
        </w:rPr>
        <w:t xml:space="preserve"> </w:t>
      </w:r>
      <w:r w:rsidR="002879BF" w:rsidRPr="00816DDD">
        <w:rPr>
          <w:szCs w:val="24"/>
        </w:rPr>
        <w:t xml:space="preserve">payer’s </w:t>
      </w:r>
      <w:r w:rsidR="00F06FDB" w:rsidRPr="00816DDD">
        <w:rPr>
          <w:szCs w:val="24"/>
        </w:rPr>
        <w:t xml:space="preserve">net interest payment equaling the fixed leg they paid and </w:t>
      </w:r>
      <w:r w:rsidR="002879BF" w:rsidRPr="00816DDD">
        <w:rPr>
          <w:szCs w:val="24"/>
        </w:rPr>
        <w:t xml:space="preserve">the receiver’s </w:t>
      </w:r>
      <w:r w:rsidR="00F06FDB" w:rsidRPr="00816DDD">
        <w:rPr>
          <w:szCs w:val="24"/>
        </w:rPr>
        <w:t>net interest payment equaling the float leg they pa</w:t>
      </w:r>
      <w:r w:rsidR="0055364A" w:rsidRPr="00816DDD">
        <w:rPr>
          <w:szCs w:val="24"/>
        </w:rPr>
        <w:t>id</w:t>
      </w:r>
      <w:r w:rsidR="00F06FDB" w:rsidRPr="00816DDD">
        <w:rPr>
          <w:szCs w:val="24"/>
        </w:rPr>
        <w:t>.  In practice, there will be slight difference</w:t>
      </w:r>
      <w:r w:rsidR="00A4471D" w:rsidRPr="00816DDD">
        <w:rPr>
          <w:szCs w:val="24"/>
        </w:rPr>
        <w:t>s</w:t>
      </w:r>
      <w:r w:rsidR="00F06FDB" w:rsidRPr="00816DDD">
        <w:rPr>
          <w:szCs w:val="24"/>
        </w:rPr>
        <w:t xml:space="preserve"> </w:t>
      </w:r>
      <w:r w:rsidR="005328BD" w:rsidRPr="00816DDD">
        <w:rPr>
          <w:szCs w:val="24"/>
        </w:rPr>
        <w:t xml:space="preserve">between </w:t>
      </w:r>
      <w:r w:rsidR="00F06FDB" w:rsidRPr="00816DDD">
        <w:rPr>
          <w:szCs w:val="24"/>
        </w:rPr>
        <w:t>these amounts so the hedge will not be perfect</w:t>
      </w:r>
      <w:r w:rsidR="00271CF2" w:rsidRPr="00816DDD">
        <w:rPr>
          <w:szCs w:val="24"/>
        </w:rPr>
        <w:t xml:space="preserve"> but still effective</w:t>
      </w:r>
      <w:r w:rsidR="00F06FDB" w:rsidRPr="00816DDD">
        <w:rPr>
          <w:szCs w:val="24"/>
        </w:rPr>
        <w:t xml:space="preserve">.  </w:t>
      </w:r>
    </w:p>
    <w:p w14:paraId="26D69E04" w14:textId="77777777" w:rsidR="00E05836" w:rsidRPr="00F21269" w:rsidRDefault="00E05836" w:rsidP="000E660D">
      <w:pPr>
        <w:spacing w:after="0" w:line="240" w:lineRule="auto"/>
        <w:rPr>
          <w:sz w:val="20"/>
          <w:szCs w:val="20"/>
        </w:rPr>
      </w:pPr>
    </w:p>
    <w:p w14:paraId="76056D49" w14:textId="113D5018" w:rsidR="00FB7709" w:rsidRPr="00816DDD" w:rsidRDefault="00FB7709" w:rsidP="00FB7709">
      <w:pPr>
        <w:spacing w:after="0" w:line="240" w:lineRule="auto"/>
        <w:jc w:val="center"/>
        <w:rPr>
          <w:b/>
          <w:bCs/>
          <w:sz w:val="20"/>
          <w:szCs w:val="20"/>
        </w:rPr>
      </w:pPr>
      <w:r w:rsidRPr="00816DDD">
        <w:rPr>
          <w:b/>
          <w:bCs/>
          <w:sz w:val="20"/>
          <w:szCs w:val="20"/>
        </w:rPr>
        <w:t>Exhibit 11:  Net Swap and Net Interest Payments</w:t>
      </w:r>
    </w:p>
    <w:p w14:paraId="49819821" w14:textId="77777777" w:rsidR="00FB7709" w:rsidRPr="00816DDD" w:rsidRDefault="00FB7709" w:rsidP="000E660D">
      <w:pPr>
        <w:spacing w:after="0" w:line="240" w:lineRule="auto"/>
        <w:rPr>
          <w:szCs w:val="24"/>
        </w:rPr>
      </w:pPr>
    </w:p>
    <w:tbl>
      <w:tblPr>
        <w:tblStyle w:val="TableGrid"/>
        <w:tblW w:w="0" w:type="auto"/>
        <w:tblInd w:w="1165" w:type="dxa"/>
        <w:tblLook w:val="04A0" w:firstRow="1" w:lastRow="0" w:firstColumn="1" w:lastColumn="0" w:noHBand="0" w:noVBand="1"/>
      </w:tblPr>
      <w:tblGrid>
        <w:gridCol w:w="1075"/>
        <w:gridCol w:w="1260"/>
        <w:gridCol w:w="1170"/>
        <w:gridCol w:w="1350"/>
        <w:gridCol w:w="1440"/>
        <w:gridCol w:w="1440"/>
      </w:tblGrid>
      <w:tr w:rsidR="00816DDD" w:rsidRPr="00816DDD" w14:paraId="6FD7F676" w14:textId="77777777" w:rsidTr="00C56851">
        <w:tc>
          <w:tcPr>
            <w:tcW w:w="1075" w:type="dxa"/>
            <w:vAlign w:val="center"/>
          </w:tcPr>
          <w:p w14:paraId="3A15BF59" w14:textId="6A5FADEF" w:rsidR="00016B28" w:rsidRPr="00816DDD" w:rsidRDefault="00016B28" w:rsidP="00E05836">
            <w:pPr>
              <w:rPr>
                <w:b/>
                <w:bCs/>
                <w:sz w:val="20"/>
                <w:szCs w:val="20"/>
              </w:rPr>
            </w:pPr>
            <w:r w:rsidRPr="00816DDD">
              <w:rPr>
                <w:rFonts w:hint="cs"/>
                <w:b/>
                <w:bCs/>
                <w:sz w:val="20"/>
                <w:szCs w:val="20"/>
              </w:rPr>
              <w:t>Payer</w:t>
            </w:r>
          </w:p>
        </w:tc>
        <w:tc>
          <w:tcPr>
            <w:tcW w:w="1260" w:type="dxa"/>
            <w:vAlign w:val="center"/>
          </w:tcPr>
          <w:p w14:paraId="4D213A50" w14:textId="77777777" w:rsidR="00016B28" w:rsidRPr="00816DDD" w:rsidRDefault="00016B28" w:rsidP="00016B28">
            <w:pPr>
              <w:jc w:val="center"/>
              <w:rPr>
                <w:b/>
                <w:bCs/>
                <w:sz w:val="20"/>
                <w:szCs w:val="20"/>
              </w:rPr>
            </w:pPr>
            <w:r w:rsidRPr="00816DDD">
              <w:rPr>
                <w:rFonts w:hint="cs"/>
                <w:b/>
                <w:bCs/>
                <w:sz w:val="20"/>
                <w:szCs w:val="20"/>
              </w:rPr>
              <w:t>Fixed Leg</w:t>
            </w:r>
          </w:p>
          <w:p w14:paraId="6F5A890E" w14:textId="06488488" w:rsidR="004A4CC0" w:rsidRPr="00816DDD" w:rsidRDefault="000E4117" w:rsidP="004A4CC0">
            <w:pPr>
              <w:jc w:val="center"/>
              <w:rPr>
                <w:b/>
                <w:bCs/>
                <w:sz w:val="20"/>
                <w:szCs w:val="20"/>
              </w:rPr>
            </w:pPr>
            <w:r w:rsidRPr="00816DDD">
              <w:rPr>
                <w:b/>
                <w:bCs/>
                <w:sz w:val="20"/>
                <w:szCs w:val="20"/>
              </w:rPr>
              <w:t>Paid</w:t>
            </w:r>
          </w:p>
        </w:tc>
        <w:tc>
          <w:tcPr>
            <w:tcW w:w="1170" w:type="dxa"/>
            <w:vAlign w:val="center"/>
          </w:tcPr>
          <w:p w14:paraId="2F1C48E9" w14:textId="77777777" w:rsidR="00016B28" w:rsidRPr="00816DDD" w:rsidRDefault="00016B28" w:rsidP="00016B28">
            <w:pPr>
              <w:jc w:val="center"/>
              <w:rPr>
                <w:b/>
                <w:bCs/>
                <w:sz w:val="20"/>
                <w:szCs w:val="20"/>
              </w:rPr>
            </w:pPr>
            <w:r w:rsidRPr="00816DDD">
              <w:rPr>
                <w:rFonts w:hint="cs"/>
                <w:b/>
                <w:bCs/>
                <w:sz w:val="20"/>
                <w:szCs w:val="20"/>
              </w:rPr>
              <w:t>Float Leg</w:t>
            </w:r>
          </w:p>
          <w:p w14:paraId="7F48C21D" w14:textId="4ED43F3F" w:rsidR="004A4CC0" w:rsidRPr="00816DDD" w:rsidRDefault="000E4117" w:rsidP="004A4CC0">
            <w:pPr>
              <w:jc w:val="center"/>
              <w:rPr>
                <w:b/>
                <w:bCs/>
                <w:sz w:val="20"/>
                <w:szCs w:val="20"/>
              </w:rPr>
            </w:pPr>
            <w:r w:rsidRPr="00816DDD">
              <w:rPr>
                <w:b/>
                <w:bCs/>
                <w:sz w:val="20"/>
                <w:szCs w:val="20"/>
              </w:rPr>
              <w:t>Received</w:t>
            </w:r>
          </w:p>
        </w:tc>
        <w:tc>
          <w:tcPr>
            <w:tcW w:w="1350" w:type="dxa"/>
            <w:vAlign w:val="center"/>
          </w:tcPr>
          <w:p w14:paraId="254BBF42" w14:textId="05F5B286" w:rsidR="004A4CC0" w:rsidRPr="00816DDD" w:rsidRDefault="00016B28" w:rsidP="004A4CC0">
            <w:pPr>
              <w:jc w:val="center"/>
              <w:rPr>
                <w:b/>
                <w:bCs/>
                <w:sz w:val="20"/>
                <w:szCs w:val="20"/>
              </w:rPr>
            </w:pPr>
            <w:r w:rsidRPr="00816DDD">
              <w:rPr>
                <w:rFonts w:hint="cs"/>
                <w:b/>
                <w:bCs/>
                <w:sz w:val="20"/>
                <w:szCs w:val="20"/>
              </w:rPr>
              <w:t>Net Swap Payment</w:t>
            </w:r>
          </w:p>
        </w:tc>
        <w:tc>
          <w:tcPr>
            <w:tcW w:w="1440" w:type="dxa"/>
            <w:vAlign w:val="center"/>
          </w:tcPr>
          <w:p w14:paraId="65F51008" w14:textId="448A491A" w:rsidR="004A4CC0" w:rsidRPr="00816DDD" w:rsidRDefault="00016B28" w:rsidP="003F0D11">
            <w:pPr>
              <w:jc w:val="center"/>
              <w:rPr>
                <w:b/>
                <w:bCs/>
                <w:sz w:val="20"/>
                <w:szCs w:val="20"/>
              </w:rPr>
            </w:pPr>
            <w:r w:rsidRPr="00816DDD">
              <w:rPr>
                <w:rFonts w:hint="cs"/>
                <w:b/>
                <w:bCs/>
                <w:sz w:val="20"/>
                <w:szCs w:val="20"/>
              </w:rPr>
              <w:t>Interest Payment</w:t>
            </w:r>
          </w:p>
        </w:tc>
        <w:tc>
          <w:tcPr>
            <w:tcW w:w="1440" w:type="dxa"/>
            <w:vAlign w:val="center"/>
          </w:tcPr>
          <w:p w14:paraId="0574E092" w14:textId="7369F14A" w:rsidR="00016B28" w:rsidRPr="00816DDD" w:rsidRDefault="00016B28" w:rsidP="00016B28">
            <w:pPr>
              <w:jc w:val="center"/>
              <w:rPr>
                <w:b/>
                <w:bCs/>
                <w:sz w:val="20"/>
                <w:szCs w:val="20"/>
              </w:rPr>
            </w:pPr>
            <w:r w:rsidRPr="00816DDD">
              <w:rPr>
                <w:rFonts w:hint="cs"/>
                <w:b/>
                <w:bCs/>
                <w:sz w:val="20"/>
                <w:szCs w:val="20"/>
              </w:rPr>
              <w:t>Net Interest Payment</w:t>
            </w:r>
          </w:p>
        </w:tc>
      </w:tr>
      <w:tr w:rsidR="00816DDD" w:rsidRPr="00816DDD" w14:paraId="30B3883C" w14:textId="77777777" w:rsidTr="00C56851">
        <w:tc>
          <w:tcPr>
            <w:tcW w:w="1075" w:type="dxa"/>
          </w:tcPr>
          <w:p w14:paraId="4B16FA43" w14:textId="0B4F259D" w:rsidR="00016B28" w:rsidRPr="00816DDD" w:rsidRDefault="00016B28" w:rsidP="000E660D">
            <w:pPr>
              <w:rPr>
                <w:sz w:val="20"/>
                <w:szCs w:val="20"/>
              </w:rPr>
            </w:pPr>
            <w:r w:rsidRPr="00816DDD">
              <w:rPr>
                <w:rFonts w:hint="cs"/>
                <w:sz w:val="20"/>
                <w:szCs w:val="20"/>
              </w:rPr>
              <w:t>Year 1</w:t>
            </w:r>
          </w:p>
        </w:tc>
        <w:tc>
          <w:tcPr>
            <w:tcW w:w="1260" w:type="dxa"/>
          </w:tcPr>
          <w:p w14:paraId="4B8BBDAC" w14:textId="28EC2B5D" w:rsidR="00016B28" w:rsidRPr="00816DDD" w:rsidRDefault="00E05836" w:rsidP="00C56851">
            <w:pPr>
              <w:jc w:val="right"/>
              <w:rPr>
                <w:sz w:val="20"/>
                <w:szCs w:val="20"/>
              </w:rPr>
            </w:pPr>
            <w:r w:rsidRPr="00816DDD">
              <w:rPr>
                <w:sz w:val="20"/>
                <w:szCs w:val="20"/>
              </w:rPr>
              <w:t>(</w:t>
            </w:r>
            <w:r w:rsidR="00C56851" w:rsidRPr="00816DDD">
              <w:rPr>
                <w:sz w:val="20"/>
                <w:szCs w:val="20"/>
              </w:rPr>
              <w:t>30,550</w:t>
            </w:r>
            <w:r w:rsidRPr="00816DDD">
              <w:rPr>
                <w:sz w:val="20"/>
                <w:szCs w:val="20"/>
              </w:rPr>
              <w:t>)</w:t>
            </w:r>
          </w:p>
        </w:tc>
        <w:tc>
          <w:tcPr>
            <w:tcW w:w="1170" w:type="dxa"/>
          </w:tcPr>
          <w:p w14:paraId="4AF84773" w14:textId="75F010A9" w:rsidR="00016B28" w:rsidRPr="00816DDD" w:rsidRDefault="00C56851" w:rsidP="00C56851">
            <w:pPr>
              <w:jc w:val="right"/>
              <w:rPr>
                <w:sz w:val="20"/>
                <w:szCs w:val="20"/>
              </w:rPr>
            </w:pPr>
            <w:r w:rsidRPr="00816DDD">
              <w:rPr>
                <w:sz w:val="20"/>
                <w:szCs w:val="20"/>
              </w:rPr>
              <w:t>29,500</w:t>
            </w:r>
          </w:p>
        </w:tc>
        <w:tc>
          <w:tcPr>
            <w:tcW w:w="1350" w:type="dxa"/>
          </w:tcPr>
          <w:p w14:paraId="31D9EA0F" w14:textId="7610BA0D" w:rsidR="00016B28" w:rsidRPr="00816DDD" w:rsidRDefault="00FB7709" w:rsidP="00C56851">
            <w:pPr>
              <w:jc w:val="right"/>
              <w:rPr>
                <w:sz w:val="20"/>
                <w:szCs w:val="20"/>
              </w:rPr>
            </w:pPr>
            <w:r w:rsidRPr="00816DDD">
              <w:rPr>
                <w:sz w:val="20"/>
                <w:szCs w:val="20"/>
              </w:rPr>
              <w:t>(</w:t>
            </w:r>
            <w:r w:rsidR="00C56851" w:rsidRPr="00816DDD">
              <w:rPr>
                <w:sz w:val="20"/>
                <w:szCs w:val="20"/>
              </w:rPr>
              <w:t>1,050</w:t>
            </w:r>
            <w:r w:rsidRPr="00816DDD">
              <w:rPr>
                <w:sz w:val="20"/>
                <w:szCs w:val="20"/>
              </w:rPr>
              <w:t>)</w:t>
            </w:r>
          </w:p>
        </w:tc>
        <w:tc>
          <w:tcPr>
            <w:tcW w:w="1440" w:type="dxa"/>
          </w:tcPr>
          <w:p w14:paraId="0FF50EC7" w14:textId="7FF100A8" w:rsidR="00016B28" w:rsidRPr="00816DDD" w:rsidRDefault="008575FC" w:rsidP="00C56851">
            <w:pPr>
              <w:jc w:val="right"/>
              <w:rPr>
                <w:sz w:val="20"/>
                <w:szCs w:val="20"/>
              </w:rPr>
            </w:pPr>
            <w:r w:rsidRPr="00816DDD">
              <w:rPr>
                <w:sz w:val="20"/>
                <w:szCs w:val="20"/>
              </w:rPr>
              <w:t>(29,500)</w:t>
            </w:r>
          </w:p>
        </w:tc>
        <w:tc>
          <w:tcPr>
            <w:tcW w:w="1440" w:type="dxa"/>
          </w:tcPr>
          <w:p w14:paraId="4744AD27" w14:textId="11294771" w:rsidR="00016B28" w:rsidRPr="00816DDD" w:rsidRDefault="00A70932" w:rsidP="00C56851">
            <w:pPr>
              <w:jc w:val="right"/>
              <w:rPr>
                <w:sz w:val="20"/>
                <w:szCs w:val="20"/>
              </w:rPr>
            </w:pPr>
            <w:r w:rsidRPr="00816DDD">
              <w:rPr>
                <w:sz w:val="20"/>
                <w:szCs w:val="20"/>
              </w:rPr>
              <w:t>(30,550)</w:t>
            </w:r>
          </w:p>
        </w:tc>
      </w:tr>
      <w:tr w:rsidR="004A4CC0" w:rsidRPr="00816DDD" w14:paraId="3D98849E" w14:textId="77777777" w:rsidTr="00C56851">
        <w:tc>
          <w:tcPr>
            <w:tcW w:w="1075" w:type="dxa"/>
          </w:tcPr>
          <w:p w14:paraId="727E422E" w14:textId="1989BE4A" w:rsidR="00016B28" w:rsidRPr="00816DDD" w:rsidRDefault="00016B28" w:rsidP="000E660D">
            <w:pPr>
              <w:rPr>
                <w:sz w:val="20"/>
                <w:szCs w:val="20"/>
              </w:rPr>
            </w:pPr>
            <w:r w:rsidRPr="00816DDD">
              <w:rPr>
                <w:rFonts w:hint="cs"/>
                <w:sz w:val="20"/>
                <w:szCs w:val="20"/>
              </w:rPr>
              <w:t>Year 2</w:t>
            </w:r>
          </w:p>
        </w:tc>
        <w:tc>
          <w:tcPr>
            <w:tcW w:w="1260" w:type="dxa"/>
          </w:tcPr>
          <w:p w14:paraId="70BDDD7D" w14:textId="7B67A765" w:rsidR="00016B28" w:rsidRPr="00816DDD" w:rsidRDefault="00E05836" w:rsidP="00C56851">
            <w:pPr>
              <w:jc w:val="right"/>
              <w:rPr>
                <w:sz w:val="20"/>
                <w:szCs w:val="20"/>
              </w:rPr>
            </w:pPr>
            <w:r w:rsidRPr="00816DDD">
              <w:rPr>
                <w:sz w:val="20"/>
                <w:szCs w:val="20"/>
              </w:rPr>
              <w:t>(</w:t>
            </w:r>
            <w:r w:rsidR="00C56851" w:rsidRPr="00816DDD">
              <w:rPr>
                <w:sz w:val="20"/>
                <w:szCs w:val="20"/>
              </w:rPr>
              <w:t>30,550</w:t>
            </w:r>
            <w:r w:rsidRPr="00816DDD">
              <w:rPr>
                <w:sz w:val="20"/>
                <w:szCs w:val="20"/>
              </w:rPr>
              <w:t>)</w:t>
            </w:r>
          </w:p>
        </w:tc>
        <w:tc>
          <w:tcPr>
            <w:tcW w:w="1170" w:type="dxa"/>
          </w:tcPr>
          <w:p w14:paraId="3EE6EB23" w14:textId="07644CBB" w:rsidR="00016B28" w:rsidRPr="00816DDD" w:rsidRDefault="00C56851" w:rsidP="00C56851">
            <w:pPr>
              <w:jc w:val="right"/>
              <w:rPr>
                <w:sz w:val="20"/>
                <w:szCs w:val="20"/>
              </w:rPr>
            </w:pPr>
            <w:r w:rsidRPr="00816DDD">
              <w:rPr>
                <w:sz w:val="20"/>
                <w:szCs w:val="20"/>
              </w:rPr>
              <w:t>32,750</w:t>
            </w:r>
          </w:p>
        </w:tc>
        <w:tc>
          <w:tcPr>
            <w:tcW w:w="1350" w:type="dxa"/>
          </w:tcPr>
          <w:p w14:paraId="3BD778C1" w14:textId="03BF89DD" w:rsidR="00016B28" w:rsidRPr="00816DDD" w:rsidRDefault="00C56851" w:rsidP="00C56851">
            <w:pPr>
              <w:jc w:val="right"/>
              <w:rPr>
                <w:sz w:val="20"/>
                <w:szCs w:val="20"/>
              </w:rPr>
            </w:pPr>
            <w:r w:rsidRPr="00816DDD">
              <w:rPr>
                <w:sz w:val="20"/>
                <w:szCs w:val="20"/>
              </w:rPr>
              <w:t>2,200</w:t>
            </w:r>
          </w:p>
        </w:tc>
        <w:tc>
          <w:tcPr>
            <w:tcW w:w="1440" w:type="dxa"/>
          </w:tcPr>
          <w:p w14:paraId="54405230" w14:textId="017DE97C" w:rsidR="00016B28" w:rsidRPr="00816DDD" w:rsidRDefault="008575FC" w:rsidP="00C56851">
            <w:pPr>
              <w:jc w:val="right"/>
              <w:rPr>
                <w:sz w:val="20"/>
                <w:szCs w:val="20"/>
              </w:rPr>
            </w:pPr>
            <w:r w:rsidRPr="00816DDD">
              <w:rPr>
                <w:sz w:val="20"/>
                <w:szCs w:val="20"/>
              </w:rPr>
              <w:t>(32,750)</w:t>
            </w:r>
          </w:p>
        </w:tc>
        <w:tc>
          <w:tcPr>
            <w:tcW w:w="1440" w:type="dxa"/>
          </w:tcPr>
          <w:p w14:paraId="429DDF9E" w14:textId="2A403D44" w:rsidR="00016B28" w:rsidRPr="00816DDD" w:rsidRDefault="00A70932" w:rsidP="00C56851">
            <w:pPr>
              <w:jc w:val="right"/>
              <w:rPr>
                <w:sz w:val="20"/>
                <w:szCs w:val="20"/>
              </w:rPr>
            </w:pPr>
            <w:r w:rsidRPr="00816DDD">
              <w:rPr>
                <w:sz w:val="20"/>
                <w:szCs w:val="20"/>
              </w:rPr>
              <w:t>(30,550)</w:t>
            </w:r>
          </w:p>
        </w:tc>
      </w:tr>
      <w:tr w:rsidR="00D51660" w:rsidRPr="00816DDD" w14:paraId="5A7BF956" w14:textId="77777777" w:rsidTr="00567210">
        <w:tc>
          <w:tcPr>
            <w:tcW w:w="7735" w:type="dxa"/>
            <w:gridSpan w:val="6"/>
          </w:tcPr>
          <w:p w14:paraId="49790F5D" w14:textId="79F44752" w:rsidR="00D51660" w:rsidRDefault="00D51660" w:rsidP="00D51660">
            <w:pPr>
              <w:rPr>
                <w:sz w:val="20"/>
                <w:szCs w:val="20"/>
              </w:rPr>
            </w:pPr>
            <w:r>
              <w:rPr>
                <w:sz w:val="20"/>
                <w:szCs w:val="20"/>
              </w:rPr>
              <w:t xml:space="preserve">500,000 x </w:t>
            </w:r>
            <w:r w:rsidR="00646CD3">
              <w:rPr>
                <w:sz w:val="20"/>
                <w:szCs w:val="20"/>
              </w:rPr>
              <w:t>0.0</w:t>
            </w:r>
            <w:r>
              <w:rPr>
                <w:sz w:val="20"/>
                <w:szCs w:val="20"/>
              </w:rPr>
              <w:t>611 = 30,550</w:t>
            </w:r>
          </w:p>
          <w:p w14:paraId="7E4DE264" w14:textId="5BC1D3DC" w:rsidR="00D51660" w:rsidRDefault="00D51660" w:rsidP="00D51660">
            <w:pPr>
              <w:rPr>
                <w:sz w:val="20"/>
                <w:szCs w:val="20"/>
              </w:rPr>
            </w:pPr>
            <w:r>
              <w:rPr>
                <w:sz w:val="20"/>
                <w:szCs w:val="20"/>
              </w:rPr>
              <w:t>500,000 x (</w:t>
            </w:r>
            <w:r w:rsidR="004A4CC0">
              <w:rPr>
                <w:sz w:val="20"/>
                <w:szCs w:val="20"/>
              </w:rPr>
              <w:t>0.0490</w:t>
            </w:r>
            <w:r>
              <w:rPr>
                <w:sz w:val="20"/>
                <w:szCs w:val="20"/>
              </w:rPr>
              <w:t xml:space="preserve"> + </w:t>
            </w:r>
            <w:r w:rsidR="004A4CC0">
              <w:rPr>
                <w:sz w:val="20"/>
                <w:szCs w:val="20"/>
              </w:rPr>
              <w:t>0.0</w:t>
            </w:r>
            <w:r>
              <w:rPr>
                <w:sz w:val="20"/>
                <w:szCs w:val="20"/>
              </w:rPr>
              <w:t xml:space="preserve">100) = </w:t>
            </w:r>
            <w:r w:rsidR="004A4CC0">
              <w:rPr>
                <w:sz w:val="20"/>
                <w:szCs w:val="20"/>
              </w:rPr>
              <w:t>29,500</w:t>
            </w:r>
          </w:p>
          <w:p w14:paraId="31530F3A" w14:textId="7584B368" w:rsidR="004A4CC0" w:rsidRPr="00816DDD" w:rsidRDefault="004A4CC0" w:rsidP="00D51660">
            <w:pPr>
              <w:rPr>
                <w:sz w:val="20"/>
                <w:szCs w:val="20"/>
              </w:rPr>
            </w:pPr>
            <w:r>
              <w:rPr>
                <w:sz w:val="20"/>
                <w:szCs w:val="20"/>
              </w:rPr>
              <w:t>500,000 x (0.0555 + 0.0100) = 32,750</w:t>
            </w:r>
          </w:p>
        </w:tc>
      </w:tr>
    </w:tbl>
    <w:p w14:paraId="531F262B" w14:textId="2EC739F6" w:rsidR="00016B28" w:rsidRPr="00816DDD" w:rsidRDefault="00016B28" w:rsidP="000E660D">
      <w:pPr>
        <w:spacing w:after="0" w:line="240" w:lineRule="auto"/>
        <w:rPr>
          <w:sz w:val="20"/>
          <w:szCs w:val="20"/>
        </w:rPr>
      </w:pPr>
    </w:p>
    <w:tbl>
      <w:tblPr>
        <w:tblStyle w:val="TableGrid"/>
        <w:tblW w:w="0" w:type="auto"/>
        <w:tblInd w:w="1165" w:type="dxa"/>
        <w:tblLook w:val="04A0" w:firstRow="1" w:lastRow="0" w:firstColumn="1" w:lastColumn="0" w:noHBand="0" w:noVBand="1"/>
      </w:tblPr>
      <w:tblGrid>
        <w:gridCol w:w="1075"/>
        <w:gridCol w:w="1260"/>
        <w:gridCol w:w="1170"/>
        <w:gridCol w:w="1350"/>
        <w:gridCol w:w="1440"/>
        <w:gridCol w:w="1440"/>
      </w:tblGrid>
      <w:tr w:rsidR="00816DDD" w:rsidRPr="00816DDD" w14:paraId="43D23B17" w14:textId="77777777" w:rsidTr="00567210">
        <w:tc>
          <w:tcPr>
            <w:tcW w:w="1075" w:type="dxa"/>
            <w:vAlign w:val="center"/>
          </w:tcPr>
          <w:p w14:paraId="7C5252BF" w14:textId="60EA58A2" w:rsidR="00FB7709" w:rsidRPr="00816DDD" w:rsidRDefault="00FB7709" w:rsidP="00E05836">
            <w:pPr>
              <w:rPr>
                <w:b/>
                <w:bCs/>
                <w:sz w:val="20"/>
                <w:szCs w:val="20"/>
              </w:rPr>
            </w:pPr>
            <w:r w:rsidRPr="00816DDD">
              <w:rPr>
                <w:b/>
                <w:bCs/>
                <w:sz w:val="20"/>
                <w:szCs w:val="20"/>
              </w:rPr>
              <w:t>Receiver</w:t>
            </w:r>
          </w:p>
        </w:tc>
        <w:tc>
          <w:tcPr>
            <w:tcW w:w="1260" w:type="dxa"/>
            <w:vAlign w:val="center"/>
          </w:tcPr>
          <w:p w14:paraId="7D3D76A0" w14:textId="75BA87A2" w:rsidR="00FB7709" w:rsidRPr="00816DDD" w:rsidRDefault="00FB7709" w:rsidP="00567210">
            <w:pPr>
              <w:jc w:val="center"/>
              <w:rPr>
                <w:b/>
                <w:bCs/>
                <w:sz w:val="20"/>
                <w:szCs w:val="20"/>
              </w:rPr>
            </w:pPr>
            <w:r w:rsidRPr="00816DDD">
              <w:rPr>
                <w:b/>
                <w:bCs/>
                <w:sz w:val="20"/>
                <w:szCs w:val="20"/>
              </w:rPr>
              <w:t xml:space="preserve">Float </w:t>
            </w:r>
            <w:r w:rsidRPr="00816DDD">
              <w:rPr>
                <w:rFonts w:hint="cs"/>
                <w:b/>
                <w:bCs/>
                <w:sz w:val="20"/>
                <w:szCs w:val="20"/>
              </w:rPr>
              <w:t>Leg</w:t>
            </w:r>
            <w:r w:rsidR="000E4117" w:rsidRPr="00816DDD">
              <w:rPr>
                <w:b/>
                <w:bCs/>
                <w:sz w:val="20"/>
                <w:szCs w:val="20"/>
              </w:rPr>
              <w:t xml:space="preserve"> Paid</w:t>
            </w:r>
          </w:p>
        </w:tc>
        <w:tc>
          <w:tcPr>
            <w:tcW w:w="1170" w:type="dxa"/>
            <w:vAlign w:val="center"/>
          </w:tcPr>
          <w:p w14:paraId="39FCC11A" w14:textId="0594ADA5" w:rsidR="00FB7709" w:rsidRPr="00816DDD" w:rsidRDefault="00FB7709" w:rsidP="00567210">
            <w:pPr>
              <w:jc w:val="center"/>
              <w:rPr>
                <w:b/>
                <w:bCs/>
                <w:sz w:val="20"/>
                <w:szCs w:val="20"/>
              </w:rPr>
            </w:pPr>
            <w:r w:rsidRPr="00816DDD">
              <w:rPr>
                <w:rFonts w:hint="cs"/>
                <w:b/>
                <w:bCs/>
                <w:sz w:val="20"/>
                <w:szCs w:val="20"/>
              </w:rPr>
              <w:t>F</w:t>
            </w:r>
            <w:r w:rsidRPr="00816DDD">
              <w:rPr>
                <w:b/>
                <w:bCs/>
                <w:sz w:val="20"/>
                <w:szCs w:val="20"/>
              </w:rPr>
              <w:t>ixed</w:t>
            </w:r>
            <w:r w:rsidRPr="00816DDD">
              <w:rPr>
                <w:rFonts w:hint="cs"/>
                <w:b/>
                <w:bCs/>
                <w:sz w:val="20"/>
                <w:szCs w:val="20"/>
              </w:rPr>
              <w:t xml:space="preserve"> Leg</w:t>
            </w:r>
            <w:r w:rsidR="000E4117" w:rsidRPr="00816DDD">
              <w:rPr>
                <w:b/>
                <w:bCs/>
                <w:sz w:val="20"/>
                <w:szCs w:val="20"/>
              </w:rPr>
              <w:t xml:space="preserve"> Received</w:t>
            </w:r>
          </w:p>
        </w:tc>
        <w:tc>
          <w:tcPr>
            <w:tcW w:w="1350" w:type="dxa"/>
            <w:vAlign w:val="center"/>
          </w:tcPr>
          <w:p w14:paraId="3088C85B" w14:textId="77777777" w:rsidR="00FB7709" w:rsidRPr="00816DDD" w:rsidRDefault="00FB7709" w:rsidP="00567210">
            <w:pPr>
              <w:jc w:val="center"/>
              <w:rPr>
                <w:b/>
                <w:bCs/>
                <w:sz w:val="20"/>
                <w:szCs w:val="20"/>
              </w:rPr>
            </w:pPr>
            <w:r w:rsidRPr="00816DDD">
              <w:rPr>
                <w:rFonts w:hint="cs"/>
                <w:b/>
                <w:bCs/>
                <w:sz w:val="20"/>
                <w:szCs w:val="20"/>
              </w:rPr>
              <w:t>Net Swap Payment</w:t>
            </w:r>
          </w:p>
        </w:tc>
        <w:tc>
          <w:tcPr>
            <w:tcW w:w="1440" w:type="dxa"/>
            <w:vAlign w:val="center"/>
          </w:tcPr>
          <w:p w14:paraId="0A7B1098" w14:textId="77777777" w:rsidR="00FB7709" w:rsidRPr="00816DDD" w:rsidRDefault="00FB7709" w:rsidP="00567210">
            <w:pPr>
              <w:jc w:val="center"/>
              <w:rPr>
                <w:b/>
                <w:bCs/>
                <w:sz w:val="20"/>
                <w:szCs w:val="20"/>
              </w:rPr>
            </w:pPr>
            <w:r w:rsidRPr="00816DDD">
              <w:rPr>
                <w:rFonts w:hint="cs"/>
                <w:b/>
                <w:bCs/>
                <w:sz w:val="20"/>
                <w:szCs w:val="20"/>
              </w:rPr>
              <w:t>Interest Payment</w:t>
            </w:r>
          </w:p>
        </w:tc>
        <w:tc>
          <w:tcPr>
            <w:tcW w:w="1440" w:type="dxa"/>
            <w:vAlign w:val="center"/>
          </w:tcPr>
          <w:p w14:paraId="2E386046" w14:textId="77777777" w:rsidR="00FB7709" w:rsidRPr="00816DDD" w:rsidRDefault="00FB7709" w:rsidP="00567210">
            <w:pPr>
              <w:jc w:val="center"/>
              <w:rPr>
                <w:b/>
                <w:bCs/>
                <w:sz w:val="20"/>
                <w:szCs w:val="20"/>
              </w:rPr>
            </w:pPr>
            <w:r w:rsidRPr="00816DDD">
              <w:rPr>
                <w:rFonts w:hint="cs"/>
                <w:b/>
                <w:bCs/>
                <w:sz w:val="20"/>
                <w:szCs w:val="20"/>
              </w:rPr>
              <w:t>Net Interest Payment</w:t>
            </w:r>
          </w:p>
        </w:tc>
      </w:tr>
      <w:tr w:rsidR="00816DDD" w:rsidRPr="00816DDD" w14:paraId="6CDC7424" w14:textId="77777777" w:rsidTr="00567210">
        <w:tc>
          <w:tcPr>
            <w:tcW w:w="1075" w:type="dxa"/>
          </w:tcPr>
          <w:p w14:paraId="7331BD24" w14:textId="77777777" w:rsidR="00FB7709" w:rsidRPr="00816DDD" w:rsidRDefault="00FB7709" w:rsidP="00567210">
            <w:pPr>
              <w:rPr>
                <w:sz w:val="20"/>
                <w:szCs w:val="20"/>
              </w:rPr>
            </w:pPr>
            <w:r w:rsidRPr="00816DDD">
              <w:rPr>
                <w:rFonts w:hint="cs"/>
                <w:sz w:val="20"/>
                <w:szCs w:val="20"/>
              </w:rPr>
              <w:t>Year 1</w:t>
            </w:r>
          </w:p>
        </w:tc>
        <w:tc>
          <w:tcPr>
            <w:tcW w:w="1260" w:type="dxa"/>
          </w:tcPr>
          <w:p w14:paraId="5631FB79" w14:textId="244345F9" w:rsidR="00FB7709" w:rsidRPr="00816DDD" w:rsidRDefault="00E05836" w:rsidP="00567210">
            <w:pPr>
              <w:jc w:val="right"/>
              <w:rPr>
                <w:sz w:val="20"/>
                <w:szCs w:val="20"/>
              </w:rPr>
            </w:pPr>
            <w:r w:rsidRPr="00816DDD">
              <w:rPr>
                <w:sz w:val="20"/>
                <w:szCs w:val="20"/>
              </w:rPr>
              <w:t>(</w:t>
            </w:r>
            <w:r w:rsidR="00FB7709" w:rsidRPr="00816DDD">
              <w:rPr>
                <w:sz w:val="20"/>
                <w:szCs w:val="20"/>
              </w:rPr>
              <w:t>29,500</w:t>
            </w:r>
            <w:r w:rsidRPr="00816DDD">
              <w:rPr>
                <w:sz w:val="20"/>
                <w:szCs w:val="20"/>
              </w:rPr>
              <w:t>)</w:t>
            </w:r>
          </w:p>
        </w:tc>
        <w:tc>
          <w:tcPr>
            <w:tcW w:w="1170" w:type="dxa"/>
          </w:tcPr>
          <w:p w14:paraId="5689324A" w14:textId="72B94B01" w:rsidR="00FB7709" w:rsidRPr="00816DDD" w:rsidRDefault="00FB7709" w:rsidP="00567210">
            <w:pPr>
              <w:jc w:val="right"/>
              <w:rPr>
                <w:sz w:val="20"/>
                <w:szCs w:val="20"/>
              </w:rPr>
            </w:pPr>
            <w:r w:rsidRPr="00816DDD">
              <w:rPr>
                <w:sz w:val="20"/>
                <w:szCs w:val="20"/>
              </w:rPr>
              <w:t>30,550</w:t>
            </w:r>
          </w:p>
        </w:tc>
        <w:tc>
          <w:tcPr>
            <w:tcW w:w="1350" w:type="dxa"/>
          </w:tcPr>
          <w:p w14:paraId="685B18D9" w14:textId="77777777" w:rsidR="00FB7709" w:rsidRPr="00816DDD" w:rsidRDefault="00FB7709" w:rsidP="00567210">
            <w:pPr>
              <w:jc w:val="right"/>
              <w:rPr>
                <w:sz w:val="20"/>
                <w:szCs w:val="20"/>
              </w:rPr>
            </w:pPr>
            <w:r w:rsidRPr="00816DDD">
              <w:rPr>
                <w:sz w:val="20"/>
                <w:szCs w:val="20"/>
              </w:rPr>
              <w:t>1,050</w:t>
            </w:r>
          </w:p>
        </w:tc>
        <w:tc>
          <w:tcPr>
            <w:tcW w:w="1440" w:type="dxa"/>
          </w:tcPr>
          <w:p w14:paraId="09D5201E" w14:textId="58BDFD60" w:rsidR="00FB7709" w:rsidRPr="00816DDD" w:rsidRDefault="00A70932" w:rsidP="00567210">
            <w:pPr>
              <w:jc w:val="right"/>
              <w:rPr>
                <w:sz w:val="20"/>
                <w:szCs w:val="20"/>
              </w:rPr>
            </w:pPr>
            <w:r w:rsidRPr="00816DDD">
              <w:rPr>
                <w:sz w:val="20"/>
                <w:szCs w:val="20"/>
              </w:rPr>
              <w:t>(30,550)</w:t>
            </w:r>
          </w:p>
        </w:tc>
        <w:tc>
          <w:tcPr>
            <w:tcW w:w="1440" w:type="dxa"/>
          </w:tcPr>
          <w:p w14:paraId="503DC5DC" w14:textId="6BC1400E" w:rsidR="00FB7709" w:rsidRPr="00816DDD" w:rsidRDefault="00A70932" w:rsidP="00567210">
            <w:pPr>
              <w:jc w:val="right"/>
              <w:rPr>
                <w:sz w:val="20"/>
                <w:szCs w:val="20"/>
              </w:rPr>
            </w:pPr>
            <w:r w:rsidRPr="00816DDD">
              <w:rPr>
                <w:sz w:val="20"/>
                <w:szCs w:val="20"/>
              </w:rPr>
              <w:t>(29,500)</w:t>
            </w:r>
          </w:p>
        </w:tc>
      </w:tr>
      <w:tr w:rsidR="004A4CC0" w:rsidRPr="00816DDD" w14:paraId="049850C9" w14:textId="77777777" w:rsidTr="00567210">
        <w:tc>
          <w:tcPr>
            <w:tcW w:w="1075" w:type="dxa"/>
          </w:tcPr>
          <w:p w14:paraId="60608682" w14:textId="77777777" w:rsidR="00FB7709" w:rsidRPr="00816DDD" w:rsidRDefault="00FB7709" w:rsidP="00567210">
            <w:pPr>
              <w:rPr>
                <w:sz w:val="20"/>
                <w:szCs w:val="20"/>
              </w:rPr>
            </w:pPr>
            <w:r w:rsidRPr="00816DDD">
              <w:rPr>
                <w:rFonts w:hint="cs"/>
                <w:sz w:val="20"/>
                <w:szCs w:val="20"/>
              </w:rPr>
              <w:t>Year 2</w:t>
            </w:r>
          </w:p>
        </w:tc>
        <w:tc>
          <w:tcPr>
            <w:tcW w:w="1260" w:type="dxa"/>
          </w:tcPr>
          <w:p w14:paraId="721505C3" w14:textId="0A24DD3F" w:rsidR="00FB7709" w:rsidRPr="00816DDD" w:rsidRDefault="00E05836" w:rsidP="00567210">
            <w:pPr>
              <w:jc w:val="right"/>
              <w:rPr>
                <w:sz w:val="20"/>
                <w:szCs w:val="20"/>
              </w:rPr>
            </w:pPr>
            <w:r w:rsidRPr="00816DDD">
              <w:rPr>
                <w:sz w:val="20"/>
                <w:szCs w:val="20"/>
              </w:rPr>
              <w:t>(</w:t>
            </w:r>
            <w:r w:rsidR="00FB7709" w:rsidRPr="00816DDD">
              <w:rPr>
                <w:sz w:val="20"/>
                <w:szCs w:val="20"/>
              </w:rPr>
              <w:t>32,750</w:t>
            </w:r>
            <w:r w:rsidRPr="00816DDD">
              <w:rPr>
                <w:sz w:val="20"/>
                <w:szCs w:val="20"/>
              </w:rPr>
              <w:t>)</w:t>
            </w:r>
          </w:p>
        </w:tc>
        <w:tc>
          <w:tcPr>
            <w:tcW w:w="1170" w:type="dxa"/>
          </w:tcPr>
          <w:p w14:paraId="2B8AF032" w14:textId="5F26E2B6" w:rsidR="00FB7709" w:rsidRPr="00816DDD" w:rsidRDefault="00FB7709" w:rsidP="00567210">
            <w:pPr>
              <w:jc w:val="right"/>
              <w:rPr>
                <w:sz w:val="20"/>
                <w:szCs w:val="20"/>
              </w:rPr>
            </w:pPr>
            <w:r w:rsidRPr="00816DDD">
              <w:rPr>
                <w:sz w:val="20"/>
                <w:szCs w:val="20"/>
              </w:rPr>
              <w:t>30,550</w:t>
            </w:r>
          </w:p>
        </w:tc>
        <w:tc>
          <w:tcPr>
            <w:tcW w:w="1350" w:type="dxa"/>
          </w:tcPr>
          <w:p w14:paraId="0C2D6670" w14:textId="77777777" w:rsidR="00FB7709" w:rsidRPr="00816DDD" w:rsidRDefault="00FB7709" w:rsidP="00567210">
            <w:pPr>
              <w:jc w:val="right"/>
              <w:rPr>
                <w:sz w:val="20"/>
                <w:szCs w:val="20"/>
              </w:rPr>
            </w:pPr>
            <w:r w:rsidRPr="00816DDD">
              <w:rPr>
                <w:sz w:val="20"/>
                <w:szCs w:val="20"/>
              </w:rPr>
              <w:t>(2,200)</w:t>
            </w:r>
          </w:p>
        </w:tc>
        <w:tc>
          <w:tcPr>
            <w:tcW w:w="1440" w:type="dxa"/>
          </w:tcPr>
          <w:p w14:paraId="44BF99F9" w14:textId="71E19753" w:rsidR="00FB7709" w:rsidRPr="00816DDD" w:rsidRDefault="00A70932" w:rsidP="00567210">
            <w:pPr>
              <w:jc w:val="right"/>
              <w:rPr>
                <w:sz w:val="20"/>
                <w:szCs w:val="20"/>
              </w:rPr>
            </w:pPr>
            <w:r w:rsidRPr="00816DDD">
              <w:rPr>
                <w:sz w:val="20"/>
                <w:szCs w:val="20"/>
              </w:rPr>
              <w:t>(30,550)</w:t>
            </w:r>
          </w:p>
        </w:tc>
        <w:tc>
          <w:tcPr>
            <w:tcW w:w="1440" w:type="dxa"/>
          </w:tcPr>
          <w:p w14:paraId="0582C3A5" w14:textId="6F03C0FC" w:rsidR="00FB7709" w:rsidRPr="00816DDD" w:rsidRDefault="00A70932" w:rsidP="00567210">
            <w:pPr>
              <w:jc w:val="right"/>
              <w:rPr>
                <w:sz w:val="20"/>
                <w:szCs w:val="20"/>
              </w:rPr>
            </w:pPr>
            <w:r w:rsidRPr="00816DDD">
              <w:rPr>
                <w:sz w:val="20"/>
                <w:szCs w:val="20"/>
              </w:rPr>
              <w:t>(32,750)</w:t>
            </w:r>
          </w:p>
        </w:tc>
      </w:tr>
    </w:tbl>
    <w:p w14:paraId="5A8C64B7" w14:textId="77777777" w:rsidR="00F85B43" w:rsidRPr="00816DDD" w:rsidRDefault="00F85B43" w:rsidP="000E660D">
      <w:pPr>
        <w:spacing w:after="0" w:line="240" w:lineRule="auto"/>
        <w:rPr>
          <w:b/>
          <w:bCs/>
          <w:szCs w:val="24"/>
        </w:rPr>
      </w:pPr>
    </w:p>
    <w:p w14:paraId="1B64D0E7" w14:textId="1DE2E6E6" w:rsidR="005328BD" w:rsidRPr="00816DDD" w:rsidRDefault="005328BD" w:rsidP="000E660D">
      <w:pPr>
        <w:spacing w:after="0" w:line="240" w:lineRule="auto"/>
        <w:rPr>
          <w:b/>
          <w:bCs/>
          <w:szCs w:val="24"/>
        </w:rPr>
      </w:pPr>
      <w:r w:rsidRPr="00816DDD">
        <w:rPr>
          <w:b/>
          <w:bCs/>
          <w:szCs w:val="24"/>
        </w:rPr>
        <w:t>Caps, Floors, and Collars</w:t>
      </w:r>
    </w:p>
    <w:p w14:paraId="2314D9D4" w14:textId="77777777" w:rsidR="005328BD" w:rsidRPr="00816DDD" w:rsidRDefault="005328BD" w:rsidP="000E660D">
      <w:pPr>
        <w:spacing w:after="0" w:line="240" w:lineRule="auto"/>
        <w:rPr>
          <w:szCs w:val="24"/>
        </w:rPr>
      </w:pPr>
    </w:p>
    <w:p w14:paraId="5613ADB1" w14:textId="05B6EBCF" w:rsidR="0070242D" w:rsidRDefault="0055364A" w:rsidP="00E16B0B">
      <w:pPr>
        <w:spacing w:after="0" w:line="240" w:lineRule="auto"/>
        <w:ind w:right="-306"/>
        <w:rPr>
          <w:szCs w:val="24"/>
        </w:rPr>
      </w:pPr>
      <w:r w:rsidRPr="00816DDD">
        <w:rPr>
          <w:szCs w:val="24"/>
        </w:rPr>
        <w:t>Besides interest rate swaps, banks</w:t>
      </w:r>
      <w:r w:rsidR="00C331DF" w:rsidRPr="00816DDD">
        <w:rPr>
          <w:szCs w:val="24"/>
        </w:rPr>
        <w:t xml:space="preserve"> and other </w:t>
      </w:r>
      <w:r w:rsidR="009F58D3" w:rsidRPr="00816DDD">
        <w:rPr>
          <w:szCs w:val="24"/>
        </w:rPr>
        <w:t>financial</w:t>
      </w:r>
      <w:r w:rsidR="00C331DF" w:rsidRPr="00816DDD">
        <w:rPr>
          <w:szCs w:val="24"/>
        </w:rPr>
        <w:t xml:space="preserve"> institutions</w:t>
      </w:r>
      <w:r w:rsidRPr="00816DDD">
        <w:rPr>
          <w:szCs w:val="24"/>
        </w:rPr>
        <w:t xml:space="preserve"> provide clients with i</w:t>
      </w:r>
      <w:r w:rsidR="00F85B43" w:rsidRPr="00816DDD">
        <w:rPr>
          <w:szCs w:val="24"/>
        </w:rPr>
        <w:t xml:space="preserve">nterest </w:t>
      </w:r>
      <w:r w:rsidRPr="00816DDD">
        <w:rPr>
          <w:szCs w:val="24"/>
        </w:rPr>
        <w:t>r</w:t>
      </w:r>
      <w:r w:rsidR="00A900B5" w:rsidRPr="00816DDD">
        <w:rPr>
          <w:szCs w:val="24"/>
        </w:rPr>
        <w:t xml:space="preserve">ate </w:t>
      </w:r>
      <w:r w:rsidRPr="00816DDD">
        <w:rPr>
          <w:szCs w:val="24"/>
        </w:rPr>
        <w:t>c</w:t>
      </w:r>
      <w:r w:rsidR="00F85B43" w:rsidRPr="00816DDD">
        <w:rPr>
          <w:szCs w:val="24"/>
        </w:rPr>
        <w:t xml:space="preserve">aps, </w:t>
      </w:r>
      <w:r w:rsidRPr="00816DDD">
        <w:rPr>
          <w:szCs w:val="24"/>
        </w:rPr>
        <w:t>f</w:t>
      </w:r>
      <w:r w:rsidR="00A900B5" w:rsidRPr="00816DDD">
        <w:rPr>
          <w:szCs w:val="24"/>
        </w:rPr>
        <w:t xml:space="preserve">loors, and </w:t>
      </w:r>
      <w:r w:rsidRPr="00816DDD">
        <w:rPr>
          <w:szCs w:val="24"/>
        </w:rPr>
        <w:t>c</w:t>
      </w:r>
      <w:r w:rsidR="00A900B5" w:rsidRPr="00816DDD">
        <w:rPr>
          <w:szCs w:val="24"/>
        </w:rPr>
        <w:t>ollars</w:t>
      </w:r>
      <w:r w:rsidRPr="00816DDD">
        <w:rPr>
          <w:szCs w:val="24"/>
        </w:rPr>
        <w:t xml:space="preserve"> t</w:t>
      </w:r>
      <w:r w:rsidR="00A4471D" w:rsidRPr="00816DDD">
        <w:rPr>
          <w:szCs w:val="24"/>
        </w:rPr>
        <w:t>o</w:t>
      </w:r>
      <w:r w:rsidR="001D1149" w:rsidRPr="00816DDD">
        <w:rPr>
          <w:szCs w:val="24"/>
        </w:rPr>
        <w:t xml:space="preserve"> </w:t>
      </w:r>
      <w:r w:rsidRPr="00816DDD">
        <w:rPr>
          <w:szCs w:val="24"/>
        </w:rPr>
        <w:t xml:space="preserve">hedge </w:t>
      </w:r>
      <w:r w:rsidR="002879BF" w:rsidRPr="00816DDD">
        <w:rPr>
          <w:szCs w:val="24"/>
        </w:rPr>
        <w:t>fluctuating interest rates</w:t>
      </w:r>
      <w:r w:rsidRPr="00816DDD">
        <w:rPr>
          <w:szCs w:val="24"/>
        </w:rPr>
        <w:t xml:space="preserve">.  </w:t>
      </w:r>
      <w:r w:rsidR="00137038" w:rsidRPr="00816DDD">
        <w:rPr>
          <w:szCs w:val="24"/>
        </w:rPr>
        <w:t>A cap is an insurance policy on floating-rate deb</w:t>
      </w:r>
      <w:r w:rsidR="001D1149" w:rsidRPr="00816DDD">
        <w:rPr>
          <w:szCs w:val="24"/>
        </w:rPr>
        <w:t>t</w:t>
      </w:r>
      <w:r w:rsidR="005F4D8B" w:rsidRPr="00816DDD">
        <w:rPr>
          <w:szCs w:val="24"/>
        </w:rPr>
        <w:t xml:space="preserve">. </w:t>
      </w:r>
      <w:r w:rsidR="001A57F8" w:rsidRPr="00816DDD">
        <w:rPr>
          <w:szCs w:val="24"/>
        </w:rPr>
        <w:t>The notional principal is the loan</w:t>
      </w:r>
      <w:r w:rsidR="007E6D2A" w:rsidRPr="00816DDD">
        <w:rPr>
          <w:szCs w:val="24"/>
        </w:rPr>
        <w:t xml:space="preserve"> amount</w:t>
      </w:r>
      <w:r w:rsidR="001A57F8" w:rsidRPr="00816DDD">
        <w:rPr>
          <w:szCs w:val="24"/>
        </w:rPr>
        <w:t xml:space="preserve"> being hedged,</w:t>
      </w:r>
      <w:r w:rsidR="007E6D2A" w:rsidRPr="00816DDD">
        <w:rPr>
          <w:szCs w:val="24"/>
        </w:rPr>
        <w:t xml:space="preserve"> </w:t>
      </w:r>
      <w:r w:rsidR="001D1149" w:rsidRPr="00816DDD">
        <w:rPr>
          <w:szCs w:val="24"/>
        </w:rPr>
        <w:t xml:space="preserve">the </w:t>
      </w:r>
      <w:r w:rsidR="001A57F8" w:rsidRPr="00816DDD">
        <w:rPr>
          <w:szCs w:val="24"/>
        </w:rPr>
        <w:t xml:space="preserve">term is the length of the </w:t>
      </w:r>
      <w:r w:rsidR="001D1149" w:rsidRPr="00816DDD">
        <w:rPr>
          <w:szCs w:val="24"/>
        </w:rPr>
        <w:t xml:space="preserve">cap </w:t>
      </w:r>
      <w:r w:rsidR="001A57F8" w:rsidRPr="00816DDD">
        <w:rPr>
          <w:szCs w:val="24"/>
        </w:rPr>
        <w:t xml:space="preserve">agreement, and </w:t>
      </w:r>
      <w:r w:rsidR="001D1149" w:rsidRPr="00816DDD">
        <w:rPr>
          <w:szCs w:val="24"/>
        </w:rPr>
        <w:t xml:space="preserve">the </w:t>
      </w:r>
      <w:r w:rsidR="00B92950" w:rsidRPr="00816DDD">
        <w:rPr>
          <w:szCs w:val="24"/>
        </w:rPr>
        <w:t xml:space="preserve">cap or </w:t>
      </w:r>
      <w:r w:rsidR="001A57F8" w:rsidRPr="00816DDD">
        <w:rPr>
          <w:szCs w:val="24"/>
        </w:rPr>
        <w:t xml:space="preserve">strike rate is the </w:t>
      </w:r>
      <w:r w:rsidR="005F4D8B" w:rsidRPr="00816DDD">
        <w:rPr>
          <w:szCs w:val="24"/>
        </w:rPr>
        <w:t xml:space="preserve">interest </w:t>
      </w:r>
      <w:r w:rsidR="001A57F8" w:rsidRPr="00816DDD">
        <w:rPr>
          <w:szCs w:val="24"/>
        </w:rPr>
        <w:t>rate</w:t>
      </w:r>
      <w:r w:rsidR="002879BF" w:rsidRPr="00816DDD">
        <w:rPr>
          <w:szCs w:val="24"/>
        </w:rPr>
        <w:t xml:space="preserve"> after which</w:t>
      </w:r>
      <w:r w:rsidR="001A57F8" w:rsidRPr="00816DDD">
        <w:rPr>
          <w:szCs w:val="24"/>
        </w:rPr>
        <w:t xml:space="preserve"> coverage begins.</w:t>
      </w:r>
      <w:r w:rsidR="007E6D2A" w:rsidRPr="00816DDD">
        <w:rPr>
          <w:szCs w:val="24"/>
        </w:rPr>
        <w:t xml:space="preserve">  </w:t>
      </w:r>
      <w:r w:rsidR="00B30A18" w:rsidRPr="00816DDD">
        <w:rPr>
          <w:szCs w:val="24"/>
        </w:rPr>
        <w:t>A cap pay</w:t>
      </w:r>
      <w:r w:rsidR="00E907F7" w:rsidRPr="00816DDD">
        <w:rPr>
          <w:szCs w:val="24"/>
        </w:rPr>
        <w:t xml:space="preserve">s </w:t>
      </w:r>
      <w:r w:rsidR="00B30A18" w:rsidRPr="00816DDD">
        <w:rPr>
          <w:szCs w:val="24"/>
        </w:rPr>
        <w:t>out when a benchmark short-term variable rate</w:t>
      </w:r>
      <w:r w:rsidR="00AA0B27">
        <w:rPr>
          <w:szCs w:val="24"/>
        </w:rPr>
        <w:t>,</w:t>
      </w:r>
      <w:r w:rsidR="00B30A18" w:rsidRPr="00816DDD">
        <w:rPr>
          <w:szCs w:val="24"/>
        </w:rPr>
        <w:t xml:space="preserve"> such as the </w:t>
      </w:r>
      <w:r w:rsidR="00E907F7" w:rsidRPr="00816DDD">
        <w:rPr>
          <w:szCs w:val="24"/>
        </w:rPr>
        <w:t>Secured Overnight Financing Rate (SOFR)</w:t>
      </w:r>
      <w:r w:rsidR="00B30A18" w:rsidRPr="00816DDD">
        <w:rPr>
          <w:szCs w:val="24"/>
        </w:rPr>
        <w:t xml:space="preserve"> rises above </w:t>
      </w:r>
      <w:r w:rsidR="001A57F8" w:rsidRPr="00816DDD">
        <w:rPr>
          <w:szCs w:val="24"/>
        </w:rPr>
        <w:t xml:space="preserve">the </w:t>
      </w:r>
      <w:r w:rsidR="001D1149" w:rsidRPr="00816DDD">
        <w:rPr>
          <w:szCs w:val="24"/>
        </w:rPr>
        <w:t xml:space="preserve">cap </w:t>
      </w:r>
      <w:r w:rsidR="001A57F8" w:rsidRPr="00816DDD">
        <w:rPr>
          <w:szCs w:val="24"/>
        </w:rPr>
        <w:t xml:space="preserve">rate. </w:t>
      </w:r>
      <w:r w:rsidR="007E6D2A" w:rsidRPr="00816DDD">
        <w:rPr>
          <w:szCs w:val="24"/>
        </w:rPr>
        <w:t xml:space="preserve"> </w:t>
      </w:r>
      <w:r w:rsidR="001A57F8" w:rsidRPr="00816DDD">
        <w:rPr>
          <w:szCs w:val="24"/>
        </w:rPr>
        <w:t>T</w:t>
      </w:r>
      <w:r w:rsidR="00E907F7" w:rsidRPr="00816DDD">
        <w:rPr>
          <w:szCs w:val="24"/>
        </w:rPr>
        <w:t>he proceeds</w:t>
      </w:r>
      <w:r w:rsidR="005F4D8B" w:rsidRPr="00816DDD">
        <w:rPr>
          <w:szCs w:val="24"/>
        </w:rPr>
        <w:t xml:space="preserve"> </w:t>
      </w:r>
      <w:r w:rsidR="001D1149" w:rsidRPr="00816DDD">
        <w:rPr>
          <w:szCs w:val="24"/>
        </w:rPr>
        <w:t xml:space="preserve">reduce the </w:t>
      </w:r>
      <w:r w:rsidR="001A57F8" w:rsidRPr="00816DDD">
        <w:rPr>
          <w:szCs w:val="24"/>
        </w:rPr>
        <w:t xml:space="preserve">cost of borrowing </w:t>
      </w:r>
      <w:r w:rsidR="007E6D2A" w:rsidRPr="00816DDD">
        <w:rPr>
          <w:szCs w:val="24"/>
        </w:rPr>
        <w:t>on a floating-rate loan</w:t>
      </w:r>
      <w:r w:rsidR="00D400C4" w:rsidRPr="00816DDD">
        <w:rPr>
          <w:szCs w:val="24"/>
        </w:rPr>
        <w:t xml:space="preserve">, </w:t>
      </w:r>
      <w:r w:rsidR="00A4471D" w:rsidRPr="00816DDD">
        <w:rPr>
          <w:szCs w:val="24"/>
        </w:rPr>
        <w:t xml:space="preserve">so the company never pays more than the </w:t>
      </w:r>
      <w:r w:rsidR="001D1149" w:rsidRPr="00816DDD">
        <w:rPr>
          <w:szCs w:val="24"/>
        </w:rPr>
        <w:t>cap</w:t>
      </w:r>
      <w:r w:rsidR="001A57F8" w:rsidRPr="00816DDD">
        <w:rPr>
          <w:szCs w:val="24"/>
        </w:rPr>
        <w:t xml:space="preserve"> rate</w:t>
      </w:r>
      <w:r w:rsidR="007E6D2A" w:rsidRPr="00816DDD">
        <w:rPr>
          <w:szCs w:val="24"/>
        </w:rPr>
        <w:t xml:space="preserve"> times </w:t>
      </w:r>
      <w:r w:rsidR="008F7037">
        <w:rPr>
          <w:szCs w:val="24"/>
        </w:rPr>
        <w:t xml:space="preserve">the </w:t>
      </w:r>
      <w:r w:rsidR="007E6D2A" w:rsidRPr="00816DDD">
        <w:rPr>
          <w:szCs w:val="24"/>
        </w:rPr>
        <w:t>notional principal</w:t>
      </w:r>
      <w:r w:rsidR="001A57F8" w:rsidRPr="00816DDD">
        <w:rPr>
          <w:szCs w:val="24"/>
        </w:rPr>
        <w:t>.</w:t>
      </w:r>
    </w:p>
    <w:p w14:paraId="41C3E98C" w14:textId="77777777" w:rsidR="00E16B0B" w:rsidRPr="00816DDD" w:rsidRDefault="00E16B0B" w:rsidP="00E16B0B">
      <w:pPr>
        <w:spacing w:after="0" w:line="240" w:lineRule="auto"/>
        <w:ind w:right="-306"/>
        <w:rPr>
          <w:szCs w:val="24"/>
        </w:rPr>
      </w:pPr>
    </w:p>
    <w:p w14:paraId="26454EFD" w14:textId="21A22B61" w:rsidR="008B4578" w:rsidRPr="00816DDD" w:rsidRDefault="0070242D" w:rsidP="00E16B0B">
      <w:pPr>
        <w:widowControl w:val="0"/>
        <w:spacing w:after="0" w:line="240" w:lineRule="auto"/>
        <w:rPr>
          <w:szCs w:val="24"/>
        </w:rPr>
      </w:pPr>
      <w:r w:rsidRPr="00816DDD">
        <w:rPr>
          <w:szCs w:val="24"/>
        </w:rPr>
        <w:t>The</w:t>
      </w:r>
      <w:r w:rsidR="00944167" w:rsidRPr="00816DDD">
        <w:rPr>
          <w:szCs w:val="24"/>
        </w:rPr>
        <w:t xml:space="preserve"> size of the </w:t>
      </w:r>
      <w:r w:rsidR="001A57F8" w:rsidRPr="00816DDD">
        <w:rPr>
          <w:szCs w:val="24"/>
        </w:rPr>
        <w:t xml:space="preserve">premium </w:t>
      </w:r>
      <w:r w:rsidRPr="00816DDD">
        <w:rPr>
          <w:szCs w:val="24"/>
        </w:rPr>
        <w:t xml:space="preserve">paid </w:t>
      </w:r>
      <w:r w:rsidR="001A57F8" w:rsidRPr="00816DDD">
        <w:rPr>
          <w:szCs w:val="24"/>
        </w:rPr>
        <w:t xml:space="preserve">for </w:t>
      </w:r>
      <w:r w:rsidR="005F4D8B" w:rsidRPr="00816DDD">
        <w:rPr>
          <w:szCs w:val="24"/>
        </w:rPr>
        <w:t>cap insurance</w:t>
      </w:r>
      <w:r w:rsidR="00944167" w:rsidRPr="00816DDD">
        <w:rPr>
          <w:szCs w:val="24"/>
        </w:rPr>
        <w:t xml:space="preserve"> </w:t>
      </w:r>
      <w:r w:rsidR="001D1149" w:rsidRPr="00816DDD">
        <w:rPr>
          <w:szCs w:val="24"/>
        </w:rPr>
        <w:t>reflects</w:t>
      </w:r>
      <w:r w:rsidR="002879BF" w:rsidRPr="00816DDD">
        <w:rPr>
          <w:szCs w:val="24"/>
        </w:rPr>
        <w:t xml:space="preserve"> </w:t>
      </w:r>
      <w:r w:rsidR="007E6D2A" w:rsidRPr="00816DDD">
        <w:rPr>
          <w:szCs w:val="24"/>
        </w:rPr>
        <w:t xml:space="preserve">several </w:t>
      </w:r>
      <w:r w:rsidR="001A57F8" w:rsidRPr="00816DDD">
        <w:rPr>
          <w:szCs w:val="24"/>
        </w:rPr>
        <w:t>factors</w:t>
      </w:r>
      <w:r w:rsidR="007E6D2A" w:rsidRPr="00816DDD">
        <w:rPr>
          <w:szCs w:val="24"/>
        </w:rPr>
        <w:t xml:space="preserve">.  The premium generally rises linearly with notional value, but very small caps have proportionately higher </w:t>
      </w:r>
      <w:r w:rsidR="006E21ED" w:rsidRPr="00816DDD">
        <w:rPr>
          <w:szCs w:val="24"/>
        </w:rPr>
        <w:t>premiums</w:t>
      </w:r>
      <w:r w:rsidR="007E6D2A" w:rsidRPr="00816DDD">
        <w:rPr>
          <w:szCs w:val="24"/>
        </w:rPr>
        <w:t xml:space="preserve"> because of fixed upfront </w:t>
      </w:r>
      <w:r w:rsidR="001D1149" w:rsidRPr="00816DDD">
        <w:rPr>
          <w:szCs w:val="24"/>
        </w:rPr>
        <w:t xml:space="preserve">administration </w:t>
      </w:r>
      <w:r w:rsidR="007E6D2A" w:rsidRPr="00816DDD">
        <w:rPr>
          <w:szCs w:val="24"/>
        </w:rPr>
        <w:t>costs</w:t>
      </w:r>
      <w:r w:rsidR="00AA0B27">
        <w:rPr>
          <w:szCs w:val="24"/>
        </w:rPr>
        <w:t>,</w:t>
      </w:r>
      <w:r w:rsidR="006E21ED" w:rsidRPr="00816DDD">
        <w:rPr>
          <w:szCs w:val="24"/>
        </w:rPr>
        <w:t xml:space="preserve"> and large caps have </w:t>
      </w:r>
      <w:r w:rsidR="005F4D8B" w:rsidRPr="00816DDD">
        <w:rPr>
          <w:szCs w:val="24"/>
        </w:rPr>
        <w:t xml:space="preserve">proportionately </w:t>
      </w:r>
      <w:r w:rsidR="006E21ED" w:rsidRPr="00816DDD">
        <w:rPr>
          <w:szCs w:val="24"/>
        </w:rPr>
        <w:t>higher premiums because of</w:t>
      </w:r>
      <w:r w:rsidR="007E51B8" w:rsidRPr="00816DDD">
        <w:rPr>
          <w:szCs w:val="24"/>
        </w:rPr>
        <w:t xml:space="preserve"> greater </w:t>
      </w:r>
      <w:r w:rsidR="005F4D8B" w:rsidRPr="00816DDD">
        <w:rPr>
          <w:szCs w:val="24"/>
        </w:rPr>
        <w:t>risk</w:t>
      </w:r>
      <w:r w:rsidR="007E51B8" w:rsidRPr="00816DDD">
        <w:rPr>
          <w:szCs w:val="24"/>
        </w:rPr>
        <w:t xml:space="preserve"> for </w:t>
      </w:r>
      <w:r w:rsidR="005F4D8B" w:rsidRPr="00816DDD">
        <w:rPr>
          <w:szCs w:val="24"/>
        </w:rPr>
        <w:t xml:space="preserve">the </w:t>
      </w:r>
      <w:r w:rsidR="007E51B8" w:rsidRPr="00816DDD">
        <w:rPr>
          <w:szCs w:val="24"/>
        </w:rPr>
        <w:t xml:space="preserve">cap </w:t>
      </w:r>
      <w:r w:rsidR="005F4D8B" w:rsidRPr="00816DDD">
        <w:rPr>
          <w:szCs w:val="24"/>
        </w:rPr>
        <w:t>provider</w:t>
      </w:r>
      <w:r w:rsidR="006E21ED" w:rsidRPr="00816DDD">
        <w:rPr>
          <w:szCs w:val="24"/>
        </w:rPr>
        <w:t xml:space="preserve">.  Cap </w:t>
      </w:r>
      <w:r w:rsidR="00DE3D13" w:rsidRPr="00816DDD">
        <w:rPr>
          <w:szCs w:val="24"/>
        </w:rPr>
        <w:t xml:space="preserve">premiums </w:t>
      </w:r>
      <w:r w:rsidR="006E21ED" w:rsidRPr="00816DDD">
        <w:rPr>
          <w:szCs w:val="24"/>
        </w:rPr>
        <w:t xml:space="preserve">also go up as the </w:t>
      </w:r>
      <w:r w:rsidR="007E51B8" w:rsidRPr="00816DDD">
        <w:rPr>
          <w:szCs w:val="24"/>
        </w:rPr>
        <w:t>cap</w:t>
      </w:r>
      <w:r w:rsidR="006E21ED" w:rsidRPr="00816DDD">
        <w:rPr>
          <w:szCs w:val="24"/>
        </w:rPr>
        <w:t xml:space="preserve"> </w:t>
      </w:r>
      <w:r w:rsidR="007E51B8" w:rsidRPr="00816DDD">
        <w:rPr>
          <w:szCs w:val="24"/>
        </w:rPr>
        <w:t>rate</w:t>
      </w:r>
      <w:r w:rsidR="006E21ED" w:rsidRPr="00816DDD">
        <w:rPr>
          <w:szCs w:val="24"/>
        </w:rPr>
        <w:t xml:space="preserve"> falls, interest volatility rises,</w:t>
      </w:r>
      <w:r w:rsidR="00582634" w:rsidRPr="00816DDD">
        <w:rPr>
          <w:szCs w:val="24"/>
        </w:rPr>
        <w:t xml:space="preserve"> </w:t>
      </w:r>
      <w:r w:rsidR="00AA0B27">
        <w:rPr>
          <w:szCs w:val="24"/>
        </w:rPr>
        <w:t xml:space="preserve">the </w:t>
      </w:r>
      <w:r w:rsidR="00B92950" w:rsidRPr="00816DDD">
        <w:rPr>
          <w:szCs w:val="24"/>
        </w:rPr>
        <w:t xml:space="preserve">yield curve </w:t>
      </w:r>
      <w:r w:rsidR="001D1149" w:rsidRPr="00816DDD">
        <w:rPr>
          <w:szCs w:val="24"/>
        </w:rPr>
        <w:t>becomes steeper</w:t>
      </w:r>
      <w:r w:rsidR="00AA0B27">
        <w:rPr>
          <w:szCs w:val="24"/>
        </w:rPr>
        <w:t>,</w:t>
      </w:r>
      <w:r w:rsidR="007E51B8" w:rsidRPr="00816DDD">
        <w:rPr>
          <w:szCs w:val="24"/>
        </w:rPr>
        <w:t xml:space="preserve"> meaning </w:t>
      </w:r>
      <w:r w:rsidR="00B92950" w:rsidRPr="00816DDD">
        <w:rPr>
          <w:szCs w:val="24"/>
        </w:rPr>
        <w:t xml:space="preserve">higher </w:t>
      </w:r>
      <w:r w:rsidR="00582634" w:rsidRPr="00816DDD">
        <w:rPr>
          <w:szCs w:val="24"/>
        </w:rPr>
        <w:t xml:space="preserve">forward </w:t>
      </w:r>
      <w:r w:rsidR="00D400C4" w:rsidRPr="00816DDD">
        <w:rPr>
          <w:szCs w:val="24"/>
        </w:rPr>
        <w:t xml:space="preserve">interest </w:t>
      </w:r>
      <w:r w:rsidR="00582634" w:rsidRPr="00816DDD">
        <w:rPr>
          <w:szCs w:val="24"/>
        </w:rPr>
        <w:lastRenderedPageBreak/>
        <w:t xml:space="preserve">rates, </w:t>
      </w:r>
      <w:r w:rsidR="006E21ED" w:rsidRPr="00816DDD">
        <w:rPr>
          <w:szCs w:val="24"/>
        </w:rPr>
        <w:t xml:space="preserve">and </w:t>
      </w:r>
      <w:r w:rsidR="00D400C4" w:rsidRPr="00816DDD">
        <w:rPr>
          <w:szCs w:val="24"/>
        </w:rPr>
        <w:t xml:space="preserve">the </w:t>
      </w:r>
      <w:r w:rsidR="006E21ED" w:rsidRPr="00816DDD">
        <w:rPr>
          <w:szCs w:val="24"/>
        </w:rPr>
        <w:t>term of the agreement increases</w:t>
      </w:r>
      <w:r w:rsidR="00944167" w:rsidRPr="00816DDD">
        <w:rPr>
          <w:szCs w:val="24"/>
        </w:rPr>
        <w:t xml:space="preserve"> </w:t>
      </w:r>
      <w:r w:rsidR="00944167" w:rsidRPr="00816DDD">
        <w:rPr>
          <w:rFonts w:hint="cs"/>
          <w:szCs w:val="24"/>
        </w:rPr>
        <w:t>–</w:t>
      </w:r>
      <w:r w:rsidR="00944167" w:rsidRPr="00816DDD">
        <w:rPr>
          <w:szCs w:val="24"/>
        </w:rPr>
        <w:t xml:space="preserve"> t</w:t>
      </w:r>
      <w:r w:rsidR="008F65BE" w:rsidRPr="00816DDD">
        <w:rPr>
          <w:szCs w:val="24"/>
        </w:rPr>
        <w:t xml:space="preserve">here </w:t>
      </w:r>
      <w:r w:rsidR="006E21ED" w:rsidRPr="00816DDD">
        <w:rPr>
          <w:szCs w:val="24"/>
        </w:rPr>
        <w:t>is a higher probability that the</w:t>
      </w:r>
      <w:r w:rsidR="00FB64DD" w:rsidRPr="00816DDD">
        <w:rPr>
          <w:szCs w:val="24"/>
        </w:rPr>
        <w:t xml:space="preserve"> </w:t>
      </w:r>
      <w:r w:rsidR="00D400C4" w:rsidRPr="00816DDD">
        <w:rPr>
          <w:szCs w:val="24"/>
        </w:rPr>
        <w:t xml:space="preserve">cap </w:t>
      </w:r>
      <w:r w:rsidR="00FB64DD" w:rsidRPr="00816DDD">
        <w:rPr>
          <w:szCs w:val="24"/>
        </w:rPr>
        <w:t xml:space="preserve">provider </w:t>
      </w:r>
      <w:r w:rsidR="006E21ED" w:rsidRPr="00816DDD">
        <w:rPr>
          <w:szCs w:val="24"/>
        </w:rPr>
        <w:t>will have to pay</w:t>
      </w:r>
      <w:r w:rsidR="008F7037">
        <w:rPr>
          <w:szCs w:val="24"/>
        </w:rPr>
        <w:t xml:space="preserve"> </w:t>
      </w:r>
      <w:r w:rsidR="006E21ED" w:rsidRPr="00816DDD">
        <w:rPr>
          <w:szCs w:val="24"/>
        </w:rPr>
        <w:t>out on the agreement.</w:t>
      </w:r>
      <w:r w:rsidR="00582634" w:rsidRPr="00816DDD">
        <w:rPr>
          <w:szCs w:val="24"/>
        </w:rPr>
        <w:t xml:space="preserve">  Commercial lenders</w:t>
      </w:r>
      <w:r w:rsidR="008F65BE" w:rsidRPr="00816DDD">
        <w:rPr>
          <w:szCs w:val="24"/>
        </w:rPr>
        <w:t xml:space="preserve"> often </w:t>
      </w:r>
      <w:r w:rsidR="00582634" w:rsidRPr="00816DDD">
        <w:rPr>
          <w:szCs w:val="24"/>
        </w:rPr>
        <w:t xml:space="preserve">require a </w:t>
      </w:r>
      <w:r w:rsidR="008F65BE" w:rsidRPr="00816DDD">
        <w:rPr>
          <w:szCs w:val="24"/>
        </w:rPr>
        <w:t xml:space="preserve">borrower </w:t>
      </w:r>
      <w:r w:rsidR="0072189A" w:rsidRPr="00816DDD">
        <w:rPr>
          <w:szCs w:val="24"/>
        </w:rPr>
        <w:t>to purchase</w:t>
      </w:r>
      <w:r w:rsidR="008F65BE" w:rsidRPr="00816DDD">
        <w:rPr>
          <w:szCs w:val="24"/>
        </w:rPr>
        <w:t xml:space="preserve"> a cap on a floating-rate loan </w:t>
      </w:r>
      <w:r w:rsidR="00582634" w:rsidRPr="00816DDD">
        <w:rPr>
          <w:szCs w:val="24"/>
        </w:rPr>
        <w:t>and assign</w:t>
      </w:r>
      <w:r w:rsidR="00B36DD6" w:rsidRPr="00816DDD">
        <w:rPr>
          <w:szCs w:val="24"/>
        </w:rPr>
        <w:t xml:space="preserve"> it</w:t>
      </w:r>
      <w:r w:rsidR="00FB64DD" w:rsidRPr="00816DDD">
        <w:rPr>
          <w:szCs w:val="24"/>
        </w:rPr>
        <w:t xml:space="preserve"> </w:t>
      </w:r>
      <w:r w:rsidR="00D400C4" w:rsidRPr="00816DDD">
        <w:rPr>
          <w:szCs w:val="24"/>
        </w:rPr>
        <w:t xml:space="preserve">to them </w:t>
      </w:r>
      <w:r w:rsidR="00944167" w:rsidRPr="00816DDD">
        <w:rPr>
          <w:szCs w:val="24"/>
        </w:rPr>
        <w:t xml:space="preserve">as added </w:t>
      </w:r>
      <w:r w:rsidR="00FB64DD" w:rsidRPr="00816DDD">
        <w:rPr>
          <w:szCs w:val="24"/>
        </w:rPr>
        <w:t>collateral</w:t>
      </w:r>
      <w:r w:rsidR="00582634" w:rsidRPr="00816DDD">
        <w:rPr>
          <w:szCs w:val="24"/>
        </w:rPr>
        <w:t>.</w:t>
      </w:r>
    </w:p>
    <w:p w14:paraId="6DF4895E" w14:textId="77777777" w:rsidR="00582634" w:rsidRPr="00816DDD" w:rsidRDefault="00582634" w:rsidP="000E660D">
      <w:pPr>
        <w:spacing w:after="0" w:line="240" w:lineRule="auto"/>
        <w:rPr>
          <w:szCs w:val="24"/>
        </w:rPr>
      </w:pPr>
    </w:p>
    <w:p w14:paraId="208A1497" w14:textId="2B1E6F73" w:rsidR="00EF3B5F" w:rsidRPr="00816DDD" w:rsidRDefault="00582634" w:rsidP="0051511B">
      <w:pPr>
        <w:spacing w:after="0" w:line="240" w:lineRule="auto"/>
        <w:ind w:right="54"/>
        <w:rPr>
          <w:szCs w:val="24"/>
        </w:rPr>
      </w:pPr>
      <w:r w:rsidRPr="00816DDD">
        <w:rPr>
          <w:szCs w:val="24"/>
        </w:rPr>
        <w:t>Interest rate floors operate like caps</w:t>
      </w:r>
      <w:r w:rsidR="00AA0B27">
        <w:rPr>
          <w:szCs w:val="24"/>
        </w:rPr>
        <w:t>,</w:t>
      </w:r>
      <w:r w:rsidRPr="00816DDD">
        <w:rPr>
          <w:szCs w:val="24"/>
        </w:rPr>
        <w:t xml:space="preserve"> except investors </w:t>
      </w:r>
      <w:r w:rsidR="00E93560" w:rsidRPr="00816DDD">
        <w:rPr>
          <w:szCs w:val="24"/>
        </w:rPr>
        <w:t xml:space="preserve">are </w:t>
      </w:r>
      <w:r w:rsidRPr="00816DDD">
        <w:rPr>
          <w:szCs w:val="24"/>
        </w:rPr>
        <w:t>buy</w:t>
      </w:r>
      <w:r w:rsidR="00E93560" w:rsidRPr="00816DDD">
        <w:rPr>
          <w:szCs w:val="24"/>
        </w:rPr>
        <w:t>ing</w:t>
      </w:r>
      <w:r w:rsidRPr="00816DDD">
        <w:rPr>
          <w:szCs w:val="24"/>
        </w:rPr>
        <w:t xml:space="preserve"> insurance against falling investment returns.  A </w:t>
      </w:r>
      <w:r w:rsidR="00881409" w:rsidRPr="00816DDD">
        <w:rPr>
          <w:szCs w:val="24"/>
        </w:rPr>
        <w:t xml:space="preserve">floor pays out when a benchmark short-term variable rate falls below the </w:t>
      </w:r>
      <w:r w:rsidR="00B92950" w:rsidRPr="00816DDD">
        <w:rPr>
          <w:szCs w:val="24"/>
        </w:rPr>
        <w:t xml:space="preserve">floor </w:t>
      </w:r>
      <w:r w:rsidR="00881409" w:rsidRPr="00816DDD">
        <w:rPr>
          <w:szCs w:val="24"/>
        </w:rPr>
        <w:t xml:space="preserve">rate.  </w:t>
      </w:r>
      <w:r w:rsidR="00B92950" w:rsidRPr="00816DDD">
        <w:rPr>
          <w:szCs w:val="24"/>
        </w:rPr>
        <w:t xml:space="preserve">An interest rate collar </w:t>
      </w:r>
      <w:r w:rsidR="00E93560" w:rsidRPr="00816DDD">
        <w:rPr>
          <w:szCs w:val="24"/>
        </w:rPr>
        <w:t>combines a cap and a floor</w:t>
      </w:r>
      <w:r w:rsidR="00AA0B27">
        <w:rPr>
          <w:szCs w:val="24"/>
        </w:rPr>
        <w:t>,</w:t>
      </w:r>
      <w:r w:rsidR="00E93560" w:rsidRPr="00816DDD">
        <w:rPr>
          <w:szCs w:val="24"/>
        </w:rPr>
        <w:t xml:space="preserve"> </w:t>
      </w:r>
      <w:r w:rsidR="00B92950" w:rsidRPr="00816DDD">
        <w:rPr>
          <w:szCs w:val="24"/>
        </w:rPr>
        <w:t>creat</w:t>
      </w:r>
      <w:r w:rsidR="00E93560" w:rsidRPr="00816DDD">
        <w:rPr>
          <w:szCs w:val="24"/>
        </w:rPr>
        <w:t>ing</w:t>
      </w:r>
      <w:r w:rsidR="00B92950" w:rsidRPr="00816DDD">
        <w:rPr>
          <w:szCs w:val="24"/>
        </w:rPr>
        <w:t xml:space="preserve"> a band within which interests </w:t>
      </w:r>
      <w:r w:rsidR="00E93560" w:rsidRPr="00816DDD">
        <w:rPr>
          <w:szCs w:val="24"/>
        </w:rPr>
        <w:t xml:space="preserve">can </w:t>
      </w:r>
      <w:r w:rsidR="00B92950" w:rsidRPr="00816DDD">
        <w:rPr>
          <w:szCs w:val="24"/>
        </w:rPr>
        <w:t>fluctu</w:t>
      </w:r>
      <w:r w:rsidR="00E93560" w:rsidRPr="00816DDD">
        <w:rPr>
          <w:szCs w:val="24"/>
        </w:rPr>
        <w:t xml:space="preserve">ate before any </w:t>
      </w:r>
      <w:r w:rsidR="00D400C4" w:rsidRPr="00816DDD">
        <w:rPr>
          <w:szCs w:val="24"/>
        </w:rPr>
        <w:t xml:space="preserve">insurance </w:t>
      </w:r>
      <w:r w:rsidR="00E93560" w:rsidRPr="00816DDD">
        <w:rPr>
          <w:szCs w:val="24"/>
        </w:rPr>
        <w:t xml:space="preserve">coverage is </w:t>
      </w:r>
      <w:r w:rsidR="00D400C4" w:rsidRPr="00816DDD">
        <w:rPr>
          <w:szCs w:val="24"/>
        </w:rPr>
        <w:t>paid</w:t>
      </w:r>
      <w:r w:rsidR="00E93560" w:rsidRPr="00816DDD">
        <w:rPr>
          <w:szCs w:val="24"/>
        </w:rPr>
        <w:t xml:space="preserve">.  </w:t>
      </w:r>
      <w:r w:rsidR="00855836" w:rsidRPr="00816DDD">
        <w:rPr>
          <w:szCs w:val="24"/>
        </w:rPr>
        <w:t>But w</w:t>
      </w:r>
      <w:r w:rsidR="00E93560" w:rsidRPr="00816DDD">
        <w:rPr>
          <w:szCs w:val="24"/>
        </w:rPr>
        <w:t xml:space="preserve">hy would a company buy a collar to hedge </w:t>
      </w:r>
      <w:r w:rsidR="00EF3B5F" w:rsidRPr="00816DDD">
        <w:rPr>
          <w:szCs w:val="24"/>
        </w:rPr>
        <w:t>a variable-rate loan</w:t>
      </w:r>
      <w:r w:rsidR="00E93560" w:rsidRPr="00816DDD">
        <w:rPr>
          <w:szCs w:val="24"/>
        </w:rPr>
        <w:t xml:space="preserve">?  They are protected from rising rates with the </w:t>
      </w:r>
      <w:r w:rsidR="00855836" w:rsidRPr="00816DDD">
        <w:rPr>
          <w:szCs w:val="24"/>
        </w:rPr>
        <w:t>ca</w:t>
      </w:r>
      <w:r w:rsidR="009F5305" w:rsidRPr="00816DDD">
        <w:rPr>
          <w:szCs w:val="24"/>
        </w:rPr>
        <w:t>p</w:t>
      </w:r>
      <w:r w:rsidR="00E93560" w:rsidRPr="00816DDD">
        <w:rPr>
          <w:szCs w:val="24"/>
        </w:rPr>
        <w:t xml:space="preserve">, but they would not </w:t>
      </w:r>
      <w:r w:rsidR="00855836" w:rsidRPr="00816DDD">
        <w:rPr>
          <w:szCs w:val="24"/>
        </w:rPr>
        <w:t xml:space="preserve">benefit </w:t>
      </w:r>
      <w:r w:rsidR="00FB64DD" w:rsidRPr="00816DDD">
        <w:rPr>
          <w:szCs w:val="24"/>
        </w:rPr>
        <w:t>from</w:t>
      </w:r>
      <w:r w:rsidR="00E93560" w:rsidRPr="00816DDD">
        <w:rPr>
          <w:szCs w:val="24"/>
        </w:rPr>
        <w:t xml:space="preserve"> falling rates</w:t>
      </w:r>
      <w:r w:rsidR="00EF3B5F" w:rsidRPr="00816DDD">
        <w:rPr>
          <w:szCs w:val="24"/>
        </w:rPr>
        <w:t xml:space="preserve"> with </w:t>
      </w:r>
      <w:r w:rsidR="00FB64DD" w:rsidRPr="00816DDD">
        <w:rPr>
          <w:szCs w:val="24"/>
        </w:rPr>
        <w:t>the</w:t>
      </w:r>
      <w:r w:rsidR="00EF3B5F" w:rsidRPr="00816DDD">
        <w:rPr>
          <w:szCs w:val="24"/>
        </w:rPr>
        <w:t xml:space="preserve"> floor. </w:t>
      </w:r>
      <w:r w:rsidR="009F58D3" w:rsidRPr="00816DDD">
        <w:rPr>
          <w:szCs w:val="24"/>
        </w:rPr>
        <w:t xml:space="preserve"> </w:t>
      </w:r>
      <w:r w:rsidR="00D400C4" w:rsidRPr="00816DDD">
        <w:rPr>
          <w:szCs w:val="24"/>
        </w:rPr>
        <w:t>Insurance p</w:t>
      </w:r>
      <w:r w:rsidR="00FB64DD" w:rsidRPr="00816DDD">
        <w:rPr>
          <w:szCs w:val="24"/>
        </w:rPr>
        <w:t>roviders</w:t>
      </w:r>
      <w:r w:rsidR="00EF3B5F" w:rsidRPr="00816DDD">
        <w:rPr>
          <w:szCs w:val="24"/>
        </w:rPr>
        <w:t xml:space="preserve"> that sell collar</w:t>
      </w:r>
      <w:r w:rsidR="009F58D3" w:rsidRPr="00816DDD">
        <w:rPr>
          <w:szCs w:val="24"/>
        </w:rPr>
        <w:t xml:space="preserve">s construct them </w:t>
      </w:r>
      <w:r w:rsidR="00EF3B5F" w:rsidRPr="00816DDD">
        <w:rPr>
          <w:szCs w:val="24"/>
        </w:rPr>
        <w:t>using a special type of option called an interest rate option.</w:t>
      </w:r>
      <w:r w:rsidR="009F58D3" w:rsidRPr="00816DDD">
        <w:rPr>
          <w:szCs w:val="24"/>
        </w:rPr>
        <w:t xml:space="preserve">  They buy interest rate </w:t>
      </w:r>
      <w:r w:rsidR="00855836" w:rsidRPr="00816DDD">
        <w:rPr>
          <w:szCs w:val="24"/>
        </w:rPr>
        <w:t xml:space="preserve">call </w:t>
      </w:r>
      <w:r w:rsidR="009F58D3" w:rsidRPr="00816DDD">
        <w:rPr>
          <w:szCs w:val="24"/>
        </w:rPr>
        <w:t xml:space="preserve">options that </w:t>
      </w:r>
      <w:r w:rsidR="008F7037">
        <w:rPr>
          <w:szCs w:val="24"/>
        </w:rPr>
        <w:t>pay out</w:t>
      </w:r>
      <w:r w:rsidR="009F58D3" w:rsidRPr="00816DDD">
        <w:rPr>
          <w:szCs w:val="24"/>
        </w:rPr>
        <w:t xml:space="preserve"> when </w:t>
      </w:r>
      <w:r w:rsidR="008F65BE" w:rsidRPr="00816DDD">
        <w:rPr>
          <w:szCs w:val="24"/>
        </w:rPr>
        <w:t xml:space="preserve">short-term rates </w:t>
      </w:r>
      <w:r w:rsidR="009F58D3" w:rsidRPr="00816DDD">
        <w:rPr>
          <w:szCs w:val="24"/>
        </w:rPr>
        <w:t xml:space="preserve">rise </w:t>
      </w:r>
      <w:r w:rsidR="00AA0B27">
        <w:rPr>
          <w:szCs w:val="24"/>
        </w:rPr>
        <w:t>above</w:t>
      </w:r>
      <w:r w:rsidR="009F58D3" w:rsidRPr="00816DDD">
        <w:rPr>
          <w:szCs w:val="24"/>
        </w:rPr>
        <w:t xml:space="preserve"> the call </w:t>
      </w:r>
      <w:r w:rsidR="00855836" w:rsidRPr="00816DDD">
        <w:rPr>
          <w:szCs w:val="24"/>
        </w:rPr>
        <w:t xml:space="preserve">rate </w:t>
      </w:r>
      <w:r w:rsidR="009F58D3" w:rsidRPr="00816DDD">
        <w:rPr>
          <w:szCs w:val="24"/>
        </w:rPr>
        <w:t>and write put options</w:t>
      </w:r>
      <w:r w:rsidR="00855836" w:rsidRPr="00816DDD">
        <w:rPr>
          <w:szCs w:val="24"/>
        </w:rPr>
        <w:t xml:space="preserve"> that they </w:t>
      </w:r>
      <w:r w:rsidR="00944167" w:rsidRPr="00816DDD">
        <w:rPr>
          <w:szCs w:val="24"/>
        </w:rPr>
        <w:t xml:space="preserve">must </w:t>
      </w:r>
      <w:r w:rsidR="00855836" w:rsidRPr="00816DDD">
        <w:rPr>
          <w:szCs w:val="24"/>
        </w:rPr>
        <w:t xml:space="preserve">pay out on </w:t>
      </w:r>
      <w:r w:rsidR="009F58D3" w:rsidRPr="00816DDD">
        <w:rPr>
          <w:szCs w:val="24"/>
        </w:rPr>
        <w:t xml:space="preserve">when short-term rates fall below the floor rate.  </w:t>
      </w:r>
      <w:r w:rsidR="009F5305" w:rsidRPr="00816DDD">
        <w:rPr>
          <w:szCs w:val="24"/>
        </w:rPr>
        <w:t>The p</w:t>
      </w:r>
      <w:r w:rsidR="009F58D3" w:rsidRPr="00816DDD">
        <w:rPr>
          <w:szCs w:val="24"/>
        </w:rPr>
        <w:t xml:space="preserve">remium paid </w:t>
      </w:r>
      <w:r w:rsidR="00AA0B27">
        <w:rPr>
          <w:szCs w:val="24"/>
        </w:rPr>
        <w:t xml:space="preserve">for </w:t>
      </w:r>
      <w:r w:rsidR="009F5305" w:rsidRPr="00816DDD">
        <w:rPr>
          <w:szCs w:val="24"/>
        </w:rPr>
        <w:t>buying</w:t>
      </w:r>
      <w:r w:rsidR="009F58D3" w:rsidRPr="00816DDD">
        <w:rPr>
          <w:szCs w:val="24"/>
        </w:rPr>
        <w:t xml:space="preserve"> the</w:t>
      </w:r>
      <w:r w:rsidR="00855836" w:rsidRPr="00816DDD">
        <w:rPr>
          <w:szCs w:val="24"/>
        </w:rPr>
        <w:t xml:space="preserve"> </w:t>
      </w:r>
      <w:r w:rsidR="00FB64DD" w:rsidRPr="00816DDD">
        <w:rPr>
          <w:szCs w:val="24"/>
        </w:rPr>
        <w:t xml:space="preserve">interest rate </w:t>
      </w:r>
      <w:r w:rsidR="00855836" w:rsidRPr="00816DDD">
        <w:rPr>
          <w:szCs w:val="24"/>
        </w:rPr>
        <w:t xml:space="preserve">call </w:t>
      </w:r>
      <w:r w:rsidR="009F58D3" w:rsidRPr="00816DDD">
        <w:rPr>
          <w:szCs w:val="24"/>
        </w:rPr>
        <w:t xml:space="preserve">option is reduced by the premium earned </w:t>
      </w:r>
      <w:r w:rsidR="0051511B">
        <w:rPr>
          <w:szCs w:val="24"/>
        </w:rPr>
        <w:t xml:space="preserve">from </w:t>
      </w:r>
      <w:r w:rsidR="009F58D3" w:rsidRPr="00816DDD">
        <w:rPr>
          <w:szCs w:val="24"/>
        </w:rPr>
        <w:t>writing the</w:t>
      </w:r>
      <w:r w:rsidR="00855836" w:rsidRPr="00816DDD">
        <w:rPr>
          <w:szCs w:val="24"/>
        </w:rPr>
        <w:t xml:space="preserve"> </w:t>
      </w:r>
      <w:r w:rsidR="00FB64DD" w:rsidRPr="00816DDD">
        <w:rPr>
          <w:szCs w:val="24"/>
        </w:rPr>
        <w:t xml:space="preserve">interest rate </w:t>
      </w:r>
      <w:r w:rsidR="00855836" w:rsidRPr="00816DDD">
        <w:rPr>
          <w:szCs w:val="24"/>
        </w:rPr>
        <w:t xml:space="preserve">put </w:t>
      </w:r>
      <w:r w:rsidR="009F58D3" w:rsidRPr="00816DDD">
        <w:rPr>
          <w:szCs w:val="24"/>
        </w:rPr>
        <w:t xml:space="preserve">option, so </w:t>
      </w:r>
      <w:r w:rsidR="00EF3B5F" w:rsidRPr="00816DDD">
        <w:rPr>
          <w:szCs w:val="24"/>
        </w:rPr>
        <w:t xml:space="preserve">the collar </w:t>
      </w:r>
      <w:r w:rsidR="009F58D3" w:rsidRPr="00816DDD">
        <w:rPr>
          <w:szCs w:val="24"/>
        </w:rPr>
        <w:t xml:space="preserve">is sold at a lower </w:t>
      </w:r>
      <w:r w:rsidR="00EF3B5F" w:rsidRPr="00816DDD">
        <w:rPr>
          <w:szCs w:val="24"/>
        </w:rPr>
        <w:t>premium</w:t>
      </w:r>
      <w:r w:rsidR="00D400C4" w:rsidRPr="00816DDD">
        <w:rPr>
          <w:szCs w:val="24"/>
        </w:rPr>
        <w:t xml:space="preserve"> than a cap</w:t>
      </w:r>
      <w:r w:rsidR="000638D1" w:rsidRPr="00816DDD">
        <w:rPr>
          <w:szCs w:val="24"/>
        </w:rPr>
        <w:t xml:space="preserve"> alone</w:t>
      </w:r>
      <w:r w:rsidR="00D400C4" w:rsidRPr="00816DDD">
        <w:rPr>
          <w:szCs w:val="24"/>
        </w:rPr>
        <w:t>.</w:t>
      </w:r>
      <w:r w:rsidR="00944167" w:rsidRPr="00816DDD">
        <w:rPr>
          <w:szCs w:val="24"/>
        </w:rPr>
        <w:t xml:space="preserve">  The purchaser of a collar on a floating-rate loan is giving away some of the benefits from falling rates to </w:t>
      </w:r>
      <w:r w:rsidR="000638D1" w:rsidRPr="00816DDD">
        <w:rPr>
          <w:szCs w:val="24"/>
        </w:rPr>
        <w:t>get more affordable coverage against rising rates.</w:t>
      </w:r>
    </w:p>
    <w:p w14:paraId="3D142B0F" w14:textId="77777777" w:rsidR="00E10A69" w:rsidRPr="00816DDD" w:rsidRDefault="00E10A69" w:rsidP="000E660D">
      <w:pPr>
        <w:spacing w:after="0" w:line="240" w:lineRule="auto"/>
        <w:rPr>
          <w:szCs w:val="24"/>
        </w:rPr>
      </w:pPr>
    </w:p>
    <w:p w14:paraId="075EF147" w14:textId="2E86F23B" w:rsidR="007C3EF4" w:rsidRPr="00816DDD" w:rsidRDefault="007C3EF4" w:rsidP="000E660D">
      <w:pPr>
        <w:widowControl w:val="0"/>
        <w:numPr>
          <w:ilvl w:val="1"/>
          <w:numId w:val="4"/>
        </w:numPr>
        <w:spacing w:after="0" w:line="240" w:lineRule="auto"/>
        <w:contextualSpacing/>
        <w:rPr>
          <w:b/>
          <w:szCs w:val="24"/>
        </w:rPr>
      </w:pPr>
      <w:r w:rsidRPr="00816DDD">
        <w:rPr>
          <w:rFonts w:hint="cs"/>
          <w:b/>
          <w:szCs w:val="24"/>
        </w:rPr>
        <w:t xml:space="preserve">| </w:t>
      </w:r>
      <w:r w:rsidR="00807A8B" w:rsidRPr="00816DDD">
        <w:rPr>
          <w:b/>
          <w:szCs w:val="24"/>
        </w:rPr>
        <w:t xml:space="preserve">Hedging </w:t>
      </w:r>
      <w:r w:rsidRPr="00816DDD">
        <w:rPr>
          <w:rFonts w:hint="cs"/>
          <w:b/>
          <w:szCs w:val="24"/>
        </w:rPr>
        <w:t>Commodity Price Risk</w:t>
      </w:r>
    </w:p>
    <w:p w14:paraId="605AEDEF" w14:textId="77777777" w:rsidR="007C3EF4" w:rsidRPr="00816DDD" w:rsidRDefault="003C4EC4" w:rsidP="000E660D">
      <w:pPr>
        <w:widowControl w:val="0"/>
        <w:spacing w:after="0" w:line="240" w:lineRule="auto"/>
        <w:contextualSpacing/>
        <w:rPr>
          <w:b/>
          <w:szCs w:val="24"/>
        </w:rPr>
      </w:pPr>
      <w:r>
        <w:rPr>
          <w:szCs w:val="24"/>
        </w:rPr>
        <w:pict w14:anchorId="4F583E68">
          <v:rect id="_x0000_i1034" style="width:0;height:1.5pt" o:hralign="center" o:hrstd="t" o:hr="t" fillcolor="#a0a0a0" stroked="f"/>
        </w:pict>
      </w:r>
    </w:p>
    <w:p w14:paraId="10E86AF6" w14:textId="77777777" w:rsidR="00816DDD" w:rsidRPr="00F21269" w:rsidRDefault="00816DDD" w:rsidP="000E660D">
      <w:pPr>
        <w:spacing w:after="0" w:line="240" w:lineRule="auto"/>
        <w:rPr>
          <w:b/>
          <w:bCs/>
          <w:sz w:val="20"/>
          <w:szCs w:val="20"/>
        </w:rPr>
      </w:pPr>
    </w:p>
    <w:p w14:paraId="73130987" w14:textId="3B99B421" w:rsidR="00325B10" w:rsidRPr="00816DDD" w:rsidRDefault="00325B10" w:rsidP="00095C34">
      <w:pPr>
        <w:spacing w:after="0" w:line="240" w:lineRule="auto"/>
        <w:ind w:right="144"/>
        <w:rPr>
          <w:b/>
          <w:bCs/>
          <w:szCs w:val="24"/>
        </w:rPr>
      </w:pPr>
      <w:r w:rsidRPr="00816DDD">
        <w:rPr>
          <w:b/>
          <w:bCs/>
          <w:szCs w:val="24"/>
        </w:rPr>
        <w:t xml:space="preserve">Futures </w:t>
      </w:r>
      <w:r w:rsidR="007B60C8" w:rsidRPr="00816DDD">
        <w:rPr>
          <w:b/>
          <w:bCs/>
          <w:szCs w:val="24"/>
        </w:rPr>
        <w:t>Market</w:t>
      </w:r>
    </w:p>
    <w:p w14:paraId="54897331" w14:textId="77777777" w:rsidR="000F0594" w:rsidRPr="00F21269" w:rsidRDefault="000F0594" w:rsidP="003C6DB9">
      <w:pPr>
        <w:spacing w:after="0" w:line="240" w:lineRule="auto"/>
        <w:rPr>
          <w:bCs/>
          <w:sz w:val="20"/>
          <w:szCs w:val="20"/>
        </w:rPr>
      </w:pPr>
    </w:p>
    <w:p w14:paraId="15526354" w14:textId="4D2D0CA4" w:rsidR="001659FA" w:rsidRPr="00816DDD" w:rsidRDefault="000F0594" w:rsidP="00E16B0B">
      <w:pPr>
        <w:spacing w:after="0" w:line="240" w:lineRule="auto"/>
        <w:ind w:right="-486"/>
        <w:rPr>
          <w:szCs w:val="24"/>
        </w:rPr>
      </w:pPr>
      <w:r w:rsidRPr="00816DDD">
        <w:rPr>
          <w:bCs/>
          <w:szCs w:val="24"/>
        </w:rPr>
        <w:t>A future</w:t>
      </w:r>
      <w:r w:rsidR="00F40B9F" w:rsidRPr="00816DDD">
        <w:rPr>
          <w:bCs/>
          <w:szCs w:val="24"/>
        </w:rPr>
        <w:t>s</w:t>
      </w:r>
      <w:r w:rsidRPr="00816DDD">
        <w:rPr>
          <w:bCs/>
          <w:szCs w:val="24"/>
        </w:rPr>
        <w:t xml:space="preserve"> contract is</w:t>
      </w:r>
      <w:r w:rsidRPr="00816DDD">
        <w:rPr>
          <w:rFonts w:hint="cs"/>
          <w:bCs/>
          <w:szCs w:val="24"/>
        </w:rPr>
        <w:t xml:space="preserve"> an agreement</w:t>
      </w:r>
      <w:r w:rsidRPr="00816DDD">
        <w:rPr>
          <w:rFonts w:hint="cs"/>
          <w:szCs w:val="24"/>
        </w:rPr>
        <w:t xml:space="preserve"> between two counterparties to </w:t>
      </w:r>
      <w:r w:rsidR="001A3550" w:rsidRPr="00816DDD">
        <w:rPr>
          <w:szCs w:val="24"/>
        </w:rPr>
        <w:t xml:space="preserve">buy or sell </w:t>
      </w:r>
      <w:r w:rsidR="003A6C4B" w:rsidRPr="00816DDD">
        <w:rPr>
          <w:szCs w:val="24"/>
        </w:rPr>
        <w:t xml:space="preserve">an </w:t>
      </w:r>
      <w:r w:rsidR="007316CE" w:rsidRPr="00816DDD">
        <w:rPr>
          <w:szCs w:val="24"/>
        </w:rPr>
        <w:t>underlying asset</w:t>
      </w:r>
      <w:r w:rsidR="000035F9" w:rsidRPr="00816DDD">
        <w:rPr>
          <w:szCs w:val="24"/>
        </w:rPr>
        <w:t xml:space="preserve"> on a specified future date</w:t>
      </w:r>
      <w:r w:rsidR="007316CE" w:rsidRPr="00816DDD">
        <w:rPr>
          <w:szCs w:val="24"/>
        </w:rPr>
        <w:t xml:space="preserve"> </w:t>
      </w:r>
      <w:r w:rsidRPr="00816DDD">
        <w:rPr>
          <w:rFonts w:hint="cs"/>
          <w:szCs w:val="24"/>
        </w:rPr>
        <w:t xml:space="preserve">at a </w:t>
      </w:r>
      <w:r w:rsidR="0063685B" w:rsidRPr="00816DDD">
        <w:rPr>
          <w:szCs w:val="24"/>
        </w:rPr>
        <w:t xml:space="preserve">price </w:t>
      </w:r>
      <w:r w:rsidR="006562F8" w:rsidRPr="00816DDD">
        <w:rPr>
          <w:szCs w:val="24"/>
        </w:rPr>
        <w:t>agreed</w:t>
      </w:r>
      <w:r w:rsidR="00F333CF" w:rsidRPr="00816DDD">
        <w:rPr>
          <w:szCs w:val="24"/>
        </w:rPr>
        <w:t xml:space="preserve"> </w:t>
      </w:r>
      <w:r w:rsidR="00F80ED1" w:rsidRPr="00816DDD">
        <w:rPr>
          <w:szCs w:val="24"/>
        </w:rPr>
        <w:t>on</w:t>
      </w:r>
      <w:r w:rsidR="001409C7" w:rsidRPr="00816DDD">
        <w:rPr>
          <w:szCs w:val="24"/>
        </w:rPr>
        <w:t xml:space="preserve"> </w:t>
      </w:r>
      <w:r w:rsidR="0063685B" w:rsidRPr="00816DDD">
        <w:rPr>
          <w:szCs w:val="24"/>
        </w:rPr>
        <w:t>today</w:t>
      </w:r>
      <w:r w:rsidRPr="00816DDD">
        <w:rPr>
          <w:rFonts w:hint="cs"/>
          <w:szCs w:val="24"/>
        </w:rPr>
        <w:t>.</w:t>
      </w:r>
      <w:r w:rsidR="003A6C4B" w:rsidRPr="00816DDD">
        <w:rPr>
          <w:szCs w:val="24"/>
        </w:rPr>
        <w:t xml:space="preserve">  The buyer </w:t>
      </w:r>
      <w:r w:rsidR="00E55759" w:rsidRPr="00816DDD">
        <w:rPr>
          <w:szCs w:val="24"/>
        </w:rPr>
        <w:t xml:space="preserve">is obligated to buy and </w:t>
      </w:r>
      <w:r w:rsidR="003A6C4B" w:rsidRPr="00816DDD">
        <w:rPr>
          <w:szCs w:val="24"/>
        </w:rPr>
        <w:t xml:space="preserve">take delivery </w:t>
      </w:r>
      <w:r w:rsidR="00E55759" w:rsidRPr="00816DDD">
        <w:rPr>
          <w:szCs w:val="24"/>
        </w:rPr>
        <w:t xml:space="preserve">of the </w:t>
      </w:r>
      <w:r w:rsidR="005A6781" w:rsidRPr="00816DDD">
        <w:rPr>
          <w:szCs w:val="24"/>
        </w:rPr>
        <w:t>asset</w:t>
      </w:r>
      <w:r w:rsidR="007316CE" w:rsidRPr="00816DDD">
        <w:rPr>
          <w:szCs w:val="24"/>
        </w:rPr>
        <w:t>,</w:t>
      </w:r>
      <w:r w:rsidR="00E55759" w:rsidRPr="00816DDD">
        <w:rPr>
          <w:szCs w:val="24"/>
        </w:rPr>
        <w:t xml:space="preserve"> </w:t>
      </w:r>
      <w:r w:rsidR="003A6C4B" w:rsidRPr="00816DDD">
        <w:rPr>
          <w:szCs w:val="24"/>
        </w:rPr>
        <w:t xml:space="preserve">and the seller </w:t>
      </w:r>
      <w:r w:rsidR="00E55759" w:rsidRPr="00816DDD">
        <w:rPr>
          <w:szCs w:val="24"/>
        </w:rPr>
        <w:t xml:space="preserve">is obligated to </w:t>
      </w:r>
      <w:r w:rsidR="003A6C4B" w:rsidRPr="00816DDD">
        <w:rPr>
          <w:szCs w:val="24"/>
        </w:rPr>
        <w:t>sel</w:t>
      </w:r>
      <w:r w:rsidR="00E55759" w:rsidRPr="00816DDD">
        <w:rPr>
          <w:szCs w:val="24"/>
        </w:rPr>
        <w:t xml:space="preserve">l and </w:t>
      </w:r>
      <w:r w:rsidR="003A6C4B" w:rsidRPr="00816DDD">
        <w:rPr>
          <w:szCs w:val="24"/>
        </w:rPr>
        <w:t>deliver</w:t>
      </w:r>
      <w:r w:rsidR="00E55759" w:rsidRPr="00816DDD">
        <w:rPr>
          <w:szCs w:val="24"/>
        </w:rPr>
        <w:t xml:space="preserve"> </w:t>
      </w:r>
      <w:r w:rsidR="00F85D5B" w:rsidRPr="00816DDD">
        <w:rPr>
          <w:szCs w:val="24"/>
        </w:rPr>
        <w:t>the asset</w:t>
      </w:r>
      <w:r w:rsidR="007316CE" w:rsidRPr="00816DDD">
        <w:rPr>
          <w:szCs w:val="24"/>
        </w:rPr>
        <w:t xml:space="preserve"> </w:t>
      </w:r>
      <w:r w:rsidR="00E55759" w:rsidRPr="00816DDD">
        <w:rPr>
          <w:szCs w:val="24"/>
        </w:rPr>
        <w:t>when the contract expires.</w:t>
      </w:r>
      <w:r w:rsidR="007316CE" w:rsidRPr="00816DDD">
        <w:rPr>
          <w:szCs w:val="24"/>
        </w:rPr>
        <w:t xml:space="preserve">  </w:t>
      </w:r>
      <w:r w:rsidR="0063685B" w:rsidRPr="00816DDD">
        <w:rPr>
          <w:szCs w:val="24"/>
        </w:rPr>
        <w:t xml:space="preserve">The party </w:t>
      </w:r>
      <w:r w:rsidR="00AA0B27">
        <w:rPr>
          <w:szCs w:val="24"/>
        </w:rPr>
        <w:t>that</w:t>
      </w:r>
      <w:r w:rsidR="0063685B" w:rsidRPr="00816DDD">
        <w:rPr>
          <w:szCs w:val="24"/>
        </w:rPr>
        <w:t xml:space="preserve"> agrees to buy the commodity is said to be “long” </w:t>
      </w:r>
      <w:r w:rsidR="00934029" w:rsidRPr="00816DDD">
        <w:rPr>
          <w:szCs w:val="24"/>
        </w:rPr>
        <w:t>and will benefit from</w:t>
      </w:r>
      <w:r w:rsidR="00F80ED1" w:rsidRPr="00816DDD">
        <w:rPr>
          <w:szCs w:val="24"/>
        </w:rPr>
        <w:t xml:space="preserve"> rising prices</w:t>
      </w:r>
      <w:r w:rsidR="00934029" w:rsidRPr="00816DDD">
        <w:rPr>
          <w:szCs w:val="24"/>
        </w:rPr>
        <w:t xml:space="preserve">.  The party </w:t>
      </w:r>
      <w:r w:rsidR="00AA0B27">
        <w:rPr>
          <w:szCs w:val="24"/>
        </w:rPr>
        <w:t>that</w:t>
      </w:r>
      <w:r w:rsidR="00934029" w:rsidRPr="00816DDD">
        <w:rPr>
          <w:szCs w:val="24"/>
        </w:rPr>
        <w:t xml:space="preserve"> agrees to sell the commodity is said to be “short” and will </w:t>
      </w:r>
      <w:r w:rsidR="001409C7" w:rsidRPr="00816DDD">
        <w:rPr>
          <w:szCs w:val="24"/>
        </w:rPr>
        <w:t xml:space="preserve">benefit </w:t>
      </w:r>
      <w:r w:rsidR="00934029" w:rsidRPr="00816DDD">
        <w:rPr>
          <w:szCs w:val="24"/>
        </w:rPr>
        <w:t>from falling price</w:t>
      </w:r>
      <w:r w:rsidR="00F80ED1" w:rsidRPr="00816DDD">
        <w:rPr>
          <w:szCs w:val="24"/>
        </w:rPr>
        <w:t>s</w:t>
      </w:r>
      <w:r w:rsidR="00934029" w:rsidRPr="00816DDD">
        <w:rPr>
          <w:szCs w:val="24"/>
        </w:rPr>
        <w:t xml:space="preserve">.  </w:t>
      </w:r>
      <w:r w:rsidR="00233FFC" w:rsidRPr="00816DDD">
        <w:rPr>
          <w:szCs w:val="24"/>
        </w:rPr>
        <w:t xml:space="preserve">A futures contract is </w:t>
      </w:r>
      <w:r w:rsidR="000514D5" w:rsidRPr="00816DDD">
        <w:rPr>
          <w:szCs w:val="24"/>
        </w:rPr>
        <w:t>like</w:t>
      </w:r>
      <w:r w:rsidR="00233FFC" w:rsidRPr="00816DDD">
        <w:rPr>
          <w:szCs w:val="24"/>
        </w:rPr>
        <w:t xml:space="preserve"> a forward contract, but there are several </w:t>
      </w:r>
      <w:r w:rsidR="005F6275">
        <w:rPr>
          <w:szCs w:val="24"/>
        </w:rPr>
        <w:t>significant</w:t>
      </w:r>
      <w:r w:rsidR="00233FFC" w:rsidRPr="00816DDD">
        <w:rPr>
          <w:szCs w:val="24"/>
        </w:rPr>
        <w:t xml:space="preserve"> differences.</w:t>
      </w:r>
    </w:p>
    <w:p w14:paraId="09A64CD6" w14:textId="77777777" w:rsidR="00E16B0B" w:rsidRDefault="00E16B0B" w:rsidP="00F40B9F">
      <w:pPr>
        <w:spacing w:after="0" w:line="240" w:lineRule="auto"/>
        <w:jc w:val="center"/>
        <w:rPr>
          <w:b/>
          <w:bCs/>
          <w:sz w:val="20"/>
          <w:szCs w:val="20"/>
        </w:rPr>
      </w:pPr>
    </w:p>
    <w:p w14:paraId="0CAE70B9" w14:textId="17AAAC72" w:rsidR="00233FFC" w:rsidRPr="00816DDD" w:rsidRDefault="00233FFC" w:rsidP="00F40B9F">
      <w:pPr>
        <w:spacing w:after="0" w:line="240" w:lineRule="auto"/>
        <w:jc w:val="center"/>
        <w:rPr>
          <w:b/>
          <w:bCs/>
          <w:sz w:val="20"/>
          <w:szCs w:val="20"/>
        </w:rPr>
      </w:pPr>
      <w:r w:rsidRPr="00816DDD">
        <w:rPr>
          <w:b/>
          <w:bCs/>
          <w:sz w:val="20"/>
          <w:szCs w:val="20"/>
        </w:rPr>
        <w:t>Exhibit 12: Futures Versus F</w:t>
      </w:r>
      <w:r w:rsidR="00F80ED1" w:rsidRPr="00816DDD">
        <w:rPr>
          <w:b/>
          <w:bCs/>
          <w:sz w:val="20"/>
          <w:szCs w:val="20"/>
        </w:rPr>
        <w:t>o</w:t>
      </w:r>
      <w:r w:rsidR="001109CA" w:rsidRPr="00816DDD">
        <w:rPr>
          <w:b/>
          <w:bCs/>
          <w:sz w:val="20"/>
          <w:szCs w:val="20"/>
        </w:rPr>
        <w:t>r</w:t>
      </w:r>
      <w:r w:rsidR="00F80ED1" w:rsidRPr="00816DDD">
        <w:rPr>
          <w:b/>
          <w:bCs/>
          <w:sz w:val="20"/>
          <w:szCs w:val="20"/>
        </w:rPr>
        <w:t>wards</w:t>
      </w:r>
    </w:p>
    <w:p w14:paraId="42EE2A79" w14:textId="77777777" w:rsidR="00233FFC" w:rsidRPr="00816DDD" w:rsidRDefault="00233FFC" w:rsidP="003C6DB9">
      <w:pPr>
        <w:spacing w:after="0" w:line="240" w:lineRule="auto"/>
        <w:rPr>
          <w:sz w:val="20"/>
          <w:szCs w:val="20"/>
        </w:rPr>
      </w:pPr>
    </w:p>
    <w:tbl>
      <w:tblPr>
        <w:tblStyle w:val="TableGrid"/>
        <w:tblW w:w="8730" w:type="dxa"/>
        <w:tblInd w:w="805" w:type="dxa"/>
        <w:tblLook w:val="04A0" w:firstRow="1" w:lastRow="0" w:firstColumn="1" w:lastColumn="0" w:noHBand="0" w:noVBand="1"/>
      </w:tblPr>
      <w:tblGrid>
        <w:gridCol w:w="4140"/>
        <w:gridCol w:w="4590"/>
      </w:tblGrid>
      <w:tr w:rsidR="00816DDD" w:rsidRPr="00816DDD" w14:paraId="47D30D8D" w14:textId="77777777" w:rsidTr="00F80ED1">
        <w:tc>
          <w:tcPr>
            <w:tcW w:w="4140" w:type="dxa"/>
            <w:vAlign w:val="center"/>
          </w:tcPr>
          <w:p w14:paraId="07984BFA" w14:textId="145246D4" w:rsidR="00233FFC" w:rsidRPr="00816DDD" w:rsidRDefault="00233FFC" w:rsidP="00233FFC">
            <w:pPr>
              <w:jc w:val="center"/>
              <w:rPr>
                <w:b/>
                <w:bCs/>
                <w:sz w:val="18"/>
                <w:szCs w:val="18"/>
              </w:rPr>
            </w:pPr>
            <w:r w:rsidRPr="00816DDD">
              <w:rPr>
                <w:b/>
                <w:bCs/>
                <w:sz w:val="18"/>
                <w:szCs w:val="18"/>
              </w:rPr>
              <w:t>Future</w:t>
            </w:r>
            <w:r w:rsidR="000D61EA" w:rsidRPr="00816DDD">
              <w:rPr>
                <w:b/>
                <w:bCs/>
                <w:sz w:val="18"/>
                <w:szCs w:val="18"/>
              </w:rPr>
              <w:t>s</w:t>
            </w:r>
          </w:p>
        </w:tc>
        <w:tc>
          <w:tcPr>
            <w:tcW w:w="4590" w:type="dxa"/>
            <w:vAlign w:val="center"/>
          </w:tcPr>
          <w:p w14:paraId="78A75E21" w14:textId="68EFDA28" w:rsidR="00233FFC" w:rsidRPr="00816DDD" w:rsidRDefault="00233FFC" w:rsidP="00233FFC">
            <w:pPr>
              <w:jc w:val="center"/>
              <w:rPr>
                <w:b/>
                <w:bCs/>
                <w:sz w:val="18"/>
                <w:szCs w:val="18"/>
              </w:rPr>
            </w:pPr>
            <w:r w:rsidRPr="00816DDD">
              <w:rPr>
                <w:b/>
                <w:bCs/>
                <w:sz w:val="18"/>
                <w:szCs w:val="18"/>
              </w:rPr>
              <w:t>Forward</w:t>
            </w:r>
            <w:r w:rsidR="000D61EA" w:rsidRPr="00816DDD">
              <w:rPr>
                <w:b/>
                <w:bCs/>
                <w:sz w:val="18"/>
                <w:szCs w:val="18"/>
              </w:rPr>
              <w:t>s</w:t>
            </w:r>
          </w:p>
        </w:tc>
      </w:tr>
      <w:tr w:rsidR="00816DDD" w:rsidRPr="00816DDD" w14:paraId="7E87E9A7" w14:textId="77777777" w:rsidTr="00F80ED1">
        <w:tc>
          <w:tcPr>
            <w:tcW w:w="4140" w:type="dxa"/>
            <w:vAlign w:val="center"/>
          </w:tcPr>
          <w:p w14:paraId="06BBB3EA" w14:textId="54C6C4A1" w:rsidR="00233FFC" w:rsidRPr="00816DDD" w:rsidRDefault="00233FFC" w:rsidP="003C6DB9">
            <w:pPr>
              <w:rPr>
                <w:sz w:val="18"/>
                <w:szCs w:val="18"/>
              </w:rPr>
            </w:pPr>
            <w:bookmarkStart w:id="20" w:name="_Hlk143160851"/>
            <w:r w:rsidRPr="00816DDD">
              <w:rPr>
                <w:sz w:val="18"/>
                <w:szCs w:val="18"/>
              </w:rPr>
              <w:t xml:space="preserve">Standardized </w:t>
            </w:r>
            <w:r w:rsidR="000514D5" w:rsidRPr="00816DDD">
              <w:rPr>
                <w:sz w:val="18"/>
                <w:szCs w:val="18"/>
              </w:rPr>
              <w:t>contracts</w:t>
            </w:r>
            <w:r w:rsidR="00D17EC8" w:rsidRPr="00816DDD">
              <w:rPr>
                <w:sz w:val="18"/>
                <w:szCs w:val="18"/>
              </w:rPr>
              <w:t xml:space="preserve"> </w:t>
            </w:r>
            <w:r w:rsidR="00F80ED1" w:rsidRPr="00816DDD">
              <w:rPr>
                <w:sz w:val="18"/>
                <w:szCs w:val="18"/>
              </w:rPr>
              <w:t xml:space="preserve">designed </w:t>
            </w:r>
            <w:r w:rsidR="00D17EC8" w:rsidRPr="00816DDD">
              <w:rPr>
                <w:sz w:val="18"/>
                <w:szCs w:val="18"/>
              </w:rPr>
              <w:t xml:space="preserve">by </w:t>
            </w:r>
            <w:r w:rsidR="00F85D5B" w:rsidRPr="00816DDD">
              <w:rPr>
                <w:sz w:val="18"/>
                <w:szCs w:val="18"/>
              </w:rPr>
              <w:t>a</w:t>
            </w:r>
            <w:r w:rsidR="000035F9" w:rsidRPr="00816DDD">
              <w:rPr>
                <w:sz w:val="18"/>
                <w:szCs w:val="18"/>
              </w:rPr>
              <w:t xml:space="preserve">n </w:t>
            </w:r>
            <w:r w:rsidR="00D17EC8" w:rsidRPr="00816DDD">
              <w:rPr>
                <w:sz w:val="18"/>
                <w:szCs w:val="18"/>
              </w:rPr>
              <w:t>excha</w:t>
            </w:r>
            <w:r w:rsidR="000035F9" w:rsidRPr="00816DDD">
              <w:rPr>
                <w:sz w:val="18"/>
                <w:szCs w:val="18"/>
              </w:rPr>
              <w:t>nge</w:t>
            </w:r>
          </w:p>
        </w:tc>
        <w:tc>
          <w:tcPr>
            <w:tcW w:w="4590" w:type="dxa"/>
            <w:vAlign w:val="center"/>
          </w:tcPr>
          <w:p w14:paraId="69F1DBBE" w14:textId="544ACE83" w:rsidR="00233FFC" w:rsidRPr="00816DDD" w:rsidRDefault="00233FFC" w:rsidP="003C6DB9">
            <w:pPr>
              <w:rPr>
                <w:sz w:val="18"/>
                <w:szCs w:val="18"/>
              </w:rPr>
            </w:pPr>
            <w:r w:rsidRPr="00816DDD">
              <w:rPr>
                <w:sz w:val="18"/>
                <w:szCs w:val="18"/>
              </w:rPr>
              <w:t xml:space="preserve">Customized </w:t>
            </w:r>
            <w:r w:rsidR="000514D5" w:rsidRPr="00816DDD">
              <w:rPr>
                <w:sz w:val="18"/>
                <w:szCs w:val="18"/>
              </w:rPr>
              <w:t>contracts</w:t>
            </w:r>
            <w:r w:rsidR="00D17EC8" w:rsidRPr="00816DDD">
              <w:rPr>
                <w:sz w:val="18"/>
                <w:szCs w:val="18"/>
              </w:rPr>
              <w:t xml:space="preserve"> </w:t>
            </w:r>
            <w:r w:rsidR="005F6275">
              <w:rPr>
                <w:sz w:val="18"/>
                <w:szCs w:val="18"/>
              </w:rPr>
              <w:t xml:space="preserve">are </w:t>
            </w:r>
            <w:r w:rsidR="002237CF" w:rsidRPr="00816DDD">
              <w:rPr>
                <w:sz w:val="18"/>
                <w:szCs w:val="18"/>
              </w:rPr>
              <w:t xml:space="preserve">negotiated between two parties </w:t>
            </w:r>
            <w:r w:rsidR="000035F9" w:rsidRPr="00816DDD">
              <w:rPr>
                <w:sz w:val="18"/>
                <w:szCs w:val="18"/>
              </w:rPr>
              <w:t xml:space="preserve">through </w:t>
            </w:r>
            <w:r w:rsidR="004B10F9" w:rsidRPr="00816DDD">
              <w:rPr>
                <w:sz w:val="18"/>
                <w:szCs w:val="18"/>
              </w:rPr>
              <w:t>a financial institution</w:t>
            </w:r>
          </w:p>
        </w:tc>
      </w:tr>
      <w:tr w:rsidR="00816DDD" w:rsidRPr="00816DDD" w14:paraId="5376A1BF" w14:textId="77777777" w:rsidTr="00F80ED1">
        <w:tc>
          <w:tcPr>
            <w:tcW w:w="4140" w:type="dxa"/>
            <w:vAlign w:val="center"/>
          </w:tcPr>
          <w:p w14:paraId="3F1B9F82" w14:textId="3F0527AB" w:rsidR="00233FFC" w:rsidRPr="00816DDD" w:rsidRDefault="00F40B9F" w:rsidP="003C6DB9">
            <w:pPr>
              <w:rPr>
                <w:sz w:val="18"/>
                <w:szCs w:val="18"/>
              </w:rPr>
            </w:pPr>
            <w:r w:rsidRPr="00816DDD">
              <w:rPr>
                <w:sz w:val="18"/>
                <w:szCs w:val="18"/>
              </w:rPr>
              <w:t xml:space="preserve">Trade </w:t>
            </w:r>
            <w:r w:rsidR="00391826" w:rsidRPr="00816DDD">
              <w:rPr>
                <w:sz w:val="18"/>
                <w:szCs w:val="18"/>
              </w:rPr>
              <w:t xml:space="preserve">publicly </w:t>
            </w:r>
            <w:r w:rsidRPr="00816DDD">
              <w:rPr>
                <w:sz w:val="18"/>
                <w:szCs w:val="18"/>
              </w:rPr>
              <w:t>on an organized exchange</w:t>
            </w:r>
          </w:p>
        </w:tc>
        <w:tc>
          <w:tcPr>
            <w:tcW w:w="4590" w:type="dxa"/>
            <w:vAlign w:val="center"/>
          </w:tcPr>
          <w:p w14:paraId="21C3112D" w14:textId="76E52E34" w:rsidR="00233FFC" w:rsidRPr="00816DDD" w:rsidRDefault="00D17EC8" w:rsidP="003C6DB9">
            <w:pPr>
              <w:rPr>
                <w:sz w:val="18"/>
                <w:szCs w:val="18"/>
              </w:rPr>
            </w:pPr>
            <w:r w:rsidRPr="00816DDD">
              <w:rPr>
                <w:sz w:val="18"/>
                <w:szCs w:val="18"/>
              </w:rPr>
              <w:t xml:space="preserve">Not </w:t>
            </w:r>
            <w:r w:rsidR="001409C7" w:rsidRPr="00816DDD">
              <w:rPr>
                <w:sz w:val="18"/>
                <w:szCs w:val="18"/>
              </w:rPr>
              <w:t xml:space="preserve">actively </w:t>
            </w:r>
            <w:r w:rsidRPr="00816DDD">
              <w:rPr>
                <w:sz w:val="18"/>
                <w:szCs w:val="18"/>
              </w:rPr>
              <w:t xml:space="preserve">traded after </w:t>
            </w:r>
            <w:r w:rsidR="001409C7" w:rsidRPr="00816DDD">
              <w:rPr>
                <w:sz w:val="18"/>
                <w:szCs w:val="18"/>
              </w:rPr>
              <w:t xml:space="preserve">the contract is </w:t>
            </w:r>
            <w:r w:rsidR="00B1059D" w:rsidRPr="00816DDD">
              <w:rPr>
                <w:sz w:val="18"/>
                <w:szCs w:val="18"/>
              </w:rPr>
              <w:t>origina</w:t>
            </w:r>
            <w:r w:rsidR="001409C7" w:rsidRPr="00816DDD">
              <w:rPr>
                <w:sz w:val="18"/>
                <w:szCs w:val="18"/>
              </w:rPr>
              <w:t>ted</w:t>
            </w:r>
          </w:p>
        </w:tc>
      </w:tr>
      <w:tr w:rsidR="00816DDD" w:rsidRPr="00816DDD" w14:paraId="1B1FE9B5" w14:textId="77777777" w:rsidTr="00F80ED1">
        <w:tc>
          <w:tcPr>
            <w:tcW w:w="4140" w:type="dxa"/>
            <w:vAlign w:val="center"/>
          </w:tcPr>
          <w:p w14:paraId="25ABA605" w14:textId="26D12B73" w:rsidR="00D17EC8" w:rsidRPr="00816DDD" w:rsidRDefault="003D3C48" w:rsidP="003C6DB9">
            <w:pPr>
              <w:rPr>
                <w:sz w:val="18"/>
                <w:szCs w:val="18"/>
              </w:rPr>
            </w:pPr>
            <w:r w:rsidRPr="00816DDD">
              <w:rPr>
                <w:sz w:val="18"/>
                <w:szCs w:val="18"/>
              </w:rPr>
              <w:t>Daily p</w:t>
            </w:r>
            <w:r w:rsidR="00F85D5B" w:rsidRPr="00816DDD">
              <w:rPr>
                <w:sz w:val="18"/>
                <w:szCs w:val="18"/>
              </w:rPr>
              <w:t>rice</w:t>
            </w:r>
            <w:r w:rsidRPr="00816DDD">
              <w:rPr>
                <w:sz w:val="18"/>
                <w:szCs w:val="18"/>
              </w:rPr>
              <w:t xml:space="preserve"> data available</w:t>
            </w:r>
          </w:p>
        </w:tc>
        <w:tc>
          <w:tcPr>
            <w:tcW w:w="4590" w:type="dxa"/>
            <w:vAlign w:val="center"/>
          </w:tcPr>
          <w:p w14:paraId="450CE7A8" w14:textId="2C98F0D3" w:rsidR="00D17EC8" w:rsidRPr="00816DDD" w:rsidRDefault="00D17EC8" w:rsidP="003C6DB9">
            <w:pPr>
              <w:rPr>
                <w:sz w:val="18"/>
                <w:szCs w:val="18"/>
              </w:rPr>
            </w:pPr>
            <w:r w:rsidRPr="00816DDD">
              <w:rPr>
                <w:sz w:val="18"/>
                <w:szCs w:val="18"/>
              </w:rPr>
              <w:t>No price data available</w:t>
            </w:r>
          </w:p>
        </w:tc>
      </w:tr>
      <w:tr w:rsidR="00816DDD" w:rsidRPr="00816DDD" w14:paraId="046EB2CB" w14:textId="77777777" w:rsidTr="00F80ED1">
        <w:tc>
          <w:tcPr>
            <w:tcW w:w="4140" w:type="dxa"/>
            <w:vAlign w:val="center"/>
          </w:tcPr>
          <w:p w14:paraId="36B02AAB" w14:textId="7C8C9354" w:rsidR="00B1059D" w:rsidRPr="00816DDD" w:rsidRDefault="00B1059D" w:rsidP="003C6DB9">
            <w:pPr>
              <w:rPr>
                <w:sz w:val="18"/>
                <w:szCs w:val="18"/>
              </w:rPr>
            </w:pPr>
            <w:r w:rsidRPr="00816DDD">
              <w:rPr>
                <w:sz w:val="18"/>
                <w:szCs w:val="18"/>
              </w:rPr>
              <w:t xml:space="preserve">Exchange acts as </w:t>
            </w:r>
            <w:r w:rsidR="003E6E98">
              <w:rPr>
                <w:sz w:val="18"/>
                <w:szCs w:val="18"/>
              </w:rPr>
              <w:t xml:space="preserve">a </w:t>
            </w:r>
            <w:r w:rsidRPr="00816DDD">
              <w:rPr>
                <w:sz w:val="18"/>
                <w:szCs w:val="18"/>
              </w:rPr>
              <w:t>clearinghouse</w:t>
            </w:r>
          </w:p>
        </w:tc>
        <w:tc>
          <w:tcPr>
            <w:tcW w:w="4590" w:type="dxa"/>
            <w:vAlign w:val="center"/>
          </w:tcPr>
          <w:p w14:paraId="1F61C27B" w14:textId="42C51A5E" w:rsidR="00B1059D" w:rsidRPr="00816DDD" w:rsidRDefault="00B1059D" w:rsidP="003C6DB9">
            <w:pPr>
              <w:rPr>
                <w:sz w:val="18"/>
                <w:szCs w:val="18"/>
              </w:rPr>
            </w:pPr>
            <w:r w:rsidRPr="00816DDD">
              <w:rPr>
                <w:sz w:val="18"/>
                <w:szCs w:val="18"/>
              </w:rPr>
              <w:t>No clearinghouse</w:t>
            </w:r>
          </w:p>
        </w:tc>
      </w:tr>
      <w:tr w:rsidR="00816DDD" w:rsidRPr="00816DDD" w14:paraId="74330356" w14:textId="77777777" w:rsidTr="00F80ED1">
        <w:tc>
          <w:tcPr>
            <w:tcW w:w="4140" w:type="dxa"/>
            <w:vAlign w:val="center"/>
          </w:tcPr>
          <w:p w14:paraId="247F95FA" w14:textId="02C82848" w:rsidR="00F85D5B" w:rsidRPr="00816DDD" w:rsidRDefault="00E045FE" w:rsidP="00F85D5B">
            <w:pPr>
              <w:rPr>
                <w:sz w:val="18"/>
                <w:szCs w:val="18"/>
              </w:rPr>
            </w:pPr>
            <w:r w:rsidRPr="00816DDD">
              <w:rPr>
                <w:sz w:val="18"/>
                <w:szCs w:val="18"/>
              </w:rPr>
              <w:t xml:space="preserve">Initial and maintenance </w:t>
            </w:r>
            <w:r w:rsidR="00F85D5B" w:rsidRPr="00816DDD">
              <w:rPr>
                <w:sz w:val="18"/>
                <w:szCs w:val="18"/>
              </w:rPr>
              <w:t>margin</w:t>
            </w:r>
            <w:r w:rsidR="001109CA" w:rsidRPr="00816DDD">
              <w:rPr>
                <w:sz w:val="18"/>
                <w:szCs w:val="18"/>
              </w:rPr>
              <w:t>s</w:t>
            </w:r>
            <w:r w:rsidR="00F85D5B" w:rsidRPr="00816DDD">
              <w:rPr>
                <w:sz w:val="18"/>
                <w:szCs w:val="18"/>
              </w:rPr>
              <w:t xml:space="preserve"> require</w:t>
            </w:r>
            <w:r w:rsidR="001109CA" w:rsidRPr="00816DDD">
              <w:rPr>
                <w:sz w:val="18"/>
                <w:szCs w:val="18"/>
              </w:rPr>
              <w:t>d</w:t>
            </w:r>
          </w:p>
        </w:tc>
        <w:tc>
          <w:tcPr>
            <w:tcW w:w="4590" w:type="dxa"/>
            <w:vAlign w:val="center"/>
          </w:tcPr>
          <w:p w14:paraId="4DA9551C" w14:textId="59BB6ED6" w:rsidR="00F85D5B" w:rsidRPr="00816DDD" w:rsidRDefault="00F85D5B" w:rsidP="00F85D5B">
            <w:pPr>
              <w:rPr>
                <w:sz w:val="18"/>
                <w:szCs w:val="18"/>
              </w:rPr>
            </w:pPr>
            <w:r w:rsidRPr="00816DDD">
              <w:rPr>
                <w:sz w:val="18"/>
                <w:szCs w:val="18"/>
              </w:rPr>
              <w:t>No margin requirements</w:t>
            </w:r>
          </w:p>
        </w:tc>
      </w:tr>
      <w:tr w:rsidR="00816DDD" w:rsidRPr="00816DDD" w14:paraId="701C65A0" w14:textId="77777777" w:rsidTr="00F80ED1">
        <w:tc>
          <w:tcPr>
            <w:tcW w:w="4140" w:type="dxa"/>
            <w:vAlign w:val="center"/>
          </w:tcPr>
          <w:p w14:paraId="0927F149" w14:textId="05A62385" w:rsidR="00F85D5B" w:rsidRPr="00816DDD" w:rsidRDefault="000D61EA" w:rsidP="00F85D5B">
            <w:pPr>
              <w:rPr>
                <w:sz w:val="18"/>
                <w:szCs w:val="18"/>
              </w:rPr>
            </w:pPr>
            <w:r w:rsidRPr="00816DDD">
              <w:rPr>
                <w:sz w:val="18"/>
                <w:szCs w:val="18"/>
              </w:rPr>
              <w:t>Daily</w:t>
            </w:r>
            <w:r w:rsidR="001409C7" w:rsidRPr="00816DDD">
              <w:rPr>
                <w:sz w:val="18"/>
                <w:szCs w:val="18"/>
              </w:rPr>
              <w:t xml:space="preserve"> settlement </w:t>
            </w:r>
          </w:p>
        </w:tc>
        <w:tc>
          <w:tcPr>
            <w:tcW w:w="4590" w:type="dxa"/>
            <w:vAlign w:val="center"/>
          </w:tcPr>
          <w:p w14:paraId="5C602947" w14:textId="74D2FA56" w:rsidR="00F85D5B" w:rsidRPr="00816DDD" w:rsidRDefault="001409C7" w:rsidP="00F85D5B">
            <w:pPr>
              <w:rPr>
                <w:sz w:val="18"/>
                <w:szCs w:val="18"/>
              </w:rPr>
            </w:pPr>
            <w:r w:rsidRPr="00816DDD">
              <w:rPr>
                <w:sz w:val="18"/>
                <w:szCs w:val="18"/>
              </w:rPr>
              <w:t>Settled at maturity</w:t>
            </w:r>
          </w:p>
        </w:tc>
      </w:tr>
      <w:tr w:rsidR="00816DDD" w:rsidRPr="00816DDD" w14:paraId="070E88EC" w14:textId="77777777" w:rsidTr="00F80ED1">
        <w:tc>
          <w:tcPr>
            <w:tcW w:w="4140" w:type="dxa"/>
            <w:vAlign w:val="center"/>
          </w:tcPr>
          <w:p w14:paraId="6D1499BA" w14:textId="2C7ABFF2" w:rsidR="001409C7" w:rsidRPr="00816DDD" w:rsidRDefault="001409C7" w:rsidP="00F85D5B">
            <w:pPr>
              <w:rPr>
                <w:sz w:val="18"/>
                <w:szCs w:val="18"/>
              </w:rPr>
            </w:pPr>
            <w:r w:rsidRPr="00816DDD">
              <w:rPr>
                <w:sz w:val="18"/>
                <w:szCs w:val="18"/>
              </w:rPr>
              <w:t>Physical delivery is rarely taken</w:t>
            </w:r>
          </w:p>
        </w:tc>
        <w:tc>
          <w:tcPr>
            <w:tcW w:w="4590" w:type="dxa"/>
            <w:vAlign w:val="center"/>
          </w:tcPr>
          <w:p w14:paraId="4A5A58D4" w14:textId="4974577B" w:rsidR="001409C7" w:rsidRPr="00816DDD" w:rsidRDefault="001409C7" w:rsidP="00F85D5B">
            <w:pPr>
              <w:rPr>
                <w:sz w:val="18"/>
                <w:szCs w:val="18"/>
              </w:rPr>
            </w:pPr>
            <w:r w:rsidRPr="00816DDD">
              <w:rPr>
                <w:sz w:val="18"/>
                <w:szCs w:val="18"/>
              </w:rPr>
              <w:t>Physical delivery is more common</w:t>
            </w:r>
          </w:p>
        </w:tc>
      </w:tr>
      <w:bookmarkEnd w:id="20"/>
    </w:tbl>
    <w:p w14:paraId="2BA34DDF" w14:textId="77777777" w:rsidR="00B81FE3" w:rsidRPr="00F21269" w:rsidRDefault="00B81FE3" w:rsidP="009849C7">
      <w:pPr>
        <w:spacing w:after="0" w:line="240" w:lineRule="auto"/>
        <w:rPr>
          <w:sz w:val="20"/>
          <w:szCs w:val="20"/>
        </w:rPr>
      </w:pPr>
    </w:p>
    <w:p w14:paraId="7E9E3462" w14:textId="26E4B2F9" w:rsidR="00F333CF" w:rsidRPr="00816DDD" w:rsidRDefault="00B27799" w:rsidP="00E16B0B">
      <w:pPr>
        <w:spacing w:after="0" w:line="240" w:lineRule="auto"/>
        <w:ind w:right="-126"/>
        <w:rPr>
          <w:szCs w:val="24"/>
        </w:rPr>
      </w:pPr>
      <w:r w:rsidRPr="00816DDD">
        <w:rPr>
          <w:szCs w:val="24"/>
        </w:rPr>
        <w:t xml:space="preserve">Futures contracts have standard terms and trade on </w:t>
      </w:r>
      <w:r w:rsidR="001659FA" w:rsidRPr="00816DDD">
        <w:rPr>
          <w:szCs w:val="24"/>
        </w:rPr>
        <w:t>orga</w:t>
      </w:r>
      <w:r w:rsidR="00FA5487" w:rsidRPr="00816DDD">
        <w:rPr>
          <w:szCs w:val="24"/>
        </w:rPr>
        <w:t xml:space="preserve">nized </w:t>
      </w:r>
      <w:r w:rsidRPr="00816DDD">
        <w:rPr>
          <w:szCs w:val="24"/>
        </w:rPr>
        <w:t>futures exchanges</w:t>
      </w:r>
      <w:r w:rsidR="00934029" w:rsidRPr="00816DDD">
        <w:rPr>
          <w:szCs w:val="24"/>
        </w:rPr>
        <w:t xml:space="preserve"> where </w:t>
      </w:r>
      <w:r w:rsidR="00E045FE" w:rsidRPr="00816DDD">
        <w:rPr>
          <w:szCs w:val="24"/>
        </w:rPr>
        <w:t xml:space="preserve">positions can be opened or closed </w:t>
      </w:r>
      <w:r w:rsidR="00934029" w:rsidRPr="00816DDD">
        <w:rPr>
          <w:szCs w:val="24"/>
        </w:rPr>
        <w:t>at any time</w:t>
      </w:r>
      <w:r w:rsidR="00F333CF" w:rsidRPr="00816DDD">
        <w:rPr>
          <w:szCs w:val="24"/>
        </w:rPr>
        <w:t xml:space="preserve"> at the current market price</w:t>
      </w:r>
      <w:r w:rsidRPr="00816DDD">
        <w:rPr>
          <w:szCs w:val="24"/>
        </w:rPr>
        <w:t xml:space="preserve">.  </w:t>
      </w:r>
      <w:r w:rsidR="001659FA" w:rsidRPr="00816DDD">
        <w:rPr>
          <w:szCs w:val="24"/>
        </w:rPr>
        <w:t xml:space="preserve">The exchange </w:t>
      </w:r>
      <w:r w:rsidR="00934029" w:rsidRPr="00816DDD">
        <w:rPr>
          <w:szCs w:val="24"/>
        </w:rPr>
        <w:t xml:space="preserve">defines </w:t>
      </w:r>
      <w:r w:rsidR="001659FA" w:rsidRPr="00816DDD">
        <w:rPr>
          <w:szCs w:val="24"/>
        </w:rPr>
        <w:t>the contract</w:t>
      </w:r>
      <w:r w:rsidR="008711C8" w:rsidRPr="00816DDD">
        <w:rPr>
          <w:szCs w:val="24"/>
        </w:rPr>
        <w:t>s</w:t>
      </w:r>
      <w:r w:rsidR="001659FA" w:rsidRPr="00816DDD">
        <w:rPr>
          <w:szCs w:val="24"/>
        </w:rPr>
        <w:t xml:space="preserve"> </w:t>
      </w:r>
      <w:r w:rsidR="00934029" w:rsidRPr="00816DDD">
        <w:rPr>
          <w:szCs w:val="24"/>
        </w:rPr>
        <w:t xml:space="preserve">being </w:t>
      </w:r>
      <w:r w:rsidR="000035F9" w:rsidRPr="00816DDD">
        <w:rPr>
          <w:szCs w:val="24"/>
        </w:rPr>
        <w:t>traded</w:t>
      </w:r>
      <w:r w:rsidR="00AA0B27">
        <w:rPr>
          <w:szCs w:val="24"/>
        </w:rPr>
        <w:t>,</w:t>
      </w:r>
      <w:r w:rsidR="000035F9" w:rsidRPr="00816DDD">
        <w:rPr>
          <w:szCs w:val="24"/>
        </w:rPr>
        <w:t xml:space="preserve"> </w:t>
      </w:r>
      <w:r w:rsidR="00E045FE" w:rsidRPr="00816DDD">
        <w:rPr>
          <w:szCs w:val="24"/>
        </w:rPr>
        <w:t>establishing</w:t>
      </w:r>
      <w:r w:rsidR="001659FA" w:rsidRPr="00816DDD">
        <w:rPr>
          <w:szCs w:val="24"/>
        </w:rPr>
        <w:t xml:space="preserve"> </w:t>
      </w:r>
      <w:r w:rsidRPr="00816DDD">
        <w:rPr>
          <w:szCs w:val="24"/>
        </w:rPr>
        <w:t xml:space="preserve">the </w:t>
      </w:r>
      <w:r w:rsidR="003D3C48" w:rsidRPr="00816DDD">
        <w:rPr>
          <w:szCs w:val="24"/>
        </w:rPr>
        <w:t>asset to be delivered, its grade</w:t>
      </w:r>
      <w:r w:rsidRPr="00816DDD">
        <w:rPr>
          <w:szCs w:val="24"/>
        </w:rPr>
        <w:t xml:space="preserve">, </w:t>
      </w:r>
      <w:r w:rsidR="003D3C48" w:rsidRPr="00816DDD">
        <w:rPr>
          <w:szCs w:val="24"/>
        </w:rPr>
        <w:t xml:space="preserve">the </w:t>
      </w:r>
      <w:r w:rsidR="0015632C" w:rsidRPr="00816DDD">
        <w:rPr>
          <w:szCs w:val="24"/>
        </w:rPr>
        <w:t xml:space="preserve">size </w:t>
      </w:r>
      <w:r w:rsidR="00B700CC" w:rsidRPr="00816DDD">
        <w:rPr>
          <w:szCs w:val="24"/>
        </w:rPr>
        <w:t>and</w:t>
      </w:r>
      <w:r w:rsidR="0015632C" w:rsidRPr="00816DDD">
        <w:rPr>
          <w:szCs w:val="24"/>
        </w:rPr>
        <w:t xml:space="preserve"> notional amount </w:t>
      </w:r>
      <w:r w:rsidR="00A70205" w:rsidRPr="00816DDD">
        <w:rPr>
          <w:szCs w:val="24"/>
        </w:rPr>
        <w:t>of the contract</w:t>
      </w:r>
      <w:r w:rsidRPr="00816DDD">
        <w:rPr>
          <w:szCs w:val="24"/>
        </w:rPr>
        <w:t xml:space="preserve">, </w:t>
      </w:r>
      <w:r w:rsidR="007316CE" w:rsidRPr="00816DDD">
        <w:rPr>
          <w:szCs w:val="24"/>
        </w:rPr>
        <w:t xml:space="preserve">and </w:t>
      </w:r>
      <w:r w:rsidR="001A3550" w:rsidRPr="00816DDD">
        <w:rPr>
          <w:szCs w:val="24"/>
        </w:rPr>
        <w:t xml:space="preserve">the date, time, </w:t>
      </w:r>
      <w:r w:rsidR="00CE54AA" w:rsidRPr="00816DDD">
        <w:rPr>
          <w:szCs w:val="24"/>
        </w:rPr>
        <w:t xml:space="preserve">method, and </w:t>
      </w:r>
      <w:r w:rsidR="001A3550" w:rsidRPr="00816DDD">
        <w:rPr>
          <w:szCs w:val="24"/>
        </w:rPr>
        <w:t>location of</w:t>
      </w:r>
      <w:r w:rsidR="007316CE" w:rsidRPr="00816DDD">
        <w:rPr>
          <w:szCs w:val="24"/>
        </w:rPr>
        <w:t xml:space="preserve"> </w:t>
      </w:r>
      <w:r w:rsidRPr="00816DDD">
        <w:rPr>
          <w:szCs w:val="24"/>
        </w:rPr>
        <w:t>delivery.  These terms are the same for all market participants</w:t>
      </w:r>
      <w:r w:rsidR="00AA0B27">
        <w:rPr>
          <w:szCs w:val="24"/>
        </w:rPr>
        <w:t>,</w:t>
      </w:r>
      <w:r w:rsidRPr="00816DDD">
        <w:rPr>
          <w:szCs w:val="24"/>
        </w:rPr>
        <w:t xml:space="preserve"> so the contracts can be easily traded</w:t>
      </w:r>
      <w:r w:rsidR="00AF407B" w:rsidRPr="00816DDD">
        <w:rPr>
          <w:szCs w:val="24"/>
        </w:rPr>
        <w:t xml:space="preserve"> in public markets</w:t>
      </w:r>
      <w:r w:rsidR="00AA0B27">
        <w:rPr>
          <w:szCs w:val="24"/>
        </w:rPr>
        <w:t>,</w:t>
      </w:r>
      <w:r w:rsidR="00AF407B" w:rsidRPr="00816DDD">
        <w:rPr>
          <w:szCs w:val="24"/>
        </w:rPr>
        <w:t xml:space="preserve"> </w:t>
      </w:r>
      <w:r w:rsidR="00C75715" w:rsidRPr="00816DDD">
        <w:rPr>
          <w:szCs w:val="24"/>
        </w:rPr>
        <w:t>providing greater market liquidity and</w:t>
      </w:r>
      <w:r w:rsidR="00F80ED1" w:rsidRPr="00816DDD">
        <w:rPr>
          <w:szCs w:val="24"/>
        </w:rPr>
        <w:t xml:space="preserve"> pricing efficiency</w:t>
      </w:r>
      <w:r w:rsidR="00C75715" w:rsidRPr="00816DDD">
        <w:rPr>
          <w:szCs w:val="24"/>
        </w:rPr>
        <w:t xml:space="preserve">. </w:t>
      </w:r>
      <w:r w:rsidR="00AF407B" w:rsidRPr="00816DDD">
        <w:rPr>
          <w:szCs w:val="24"/>
        </w:rPr>
        <w:t xml:space="preserve"> </w:t>
      </w:r>
    </w:p>
    <w:p w14:paraId="14AC421E" w14:textId="77777777" w:rsidR="00F333CF" w:rsidRPr="00816DDD" w:rsidRDefault="00F333CF" w:rsidP="009849C7">
      <w:pPr>
        <w:spacing w:after="0" w:line="240" w:lineRule="auto"/>
        <w:rPr>
          <w:sz w:val="20"/>
          <w:szCs w:val="20"/>
        </w:rPr>
      </w:pPr>
    </w:p>
    <w:p w14:paraId="782F336C" w14:textId="6152DEFA" w:rsidR="00931B04" w:rsidRPr="00816DDD" w:rsidRDefault="00AF407B" w:rsidP="00E16B0B">
      <w:pPr>
        <w:spacing w:after="0" w:line="240" w:lineRule="auto"/>
        <w:ind w:right="-36"/>
        <w:rPr>
          <w:szCs w:val="24"/>
        </w:rPr>
      </w:pPr>
      <w:r w:rsidRPr="00816DDD">
        <w:rPr>
          <w:szCs w:val="24"/>
        </w:rPr>
        <w:lastRenderedPageBreak/>
        <w:t xml:space="preserve">The futures exchange serves as </w:t>
      </w:r>
      <w:r w:rsidR="00A7065B" w:rsidRPr="00816DDD">
        <w:rPr>
          <w:szCs w:val="24"/>
        </w:rPr>
        <w:t>a central clearinghouse</w:t>
      </w:r>
      <w:r w:rsidR="00AA0B27">
        <w:rPr>
          <w:szCs w:val="24"/>
        </w:rPr>
        <w:t>,</w:t>
      </w:r>
      <w:r w:rsidR="00A7065B" w:rsidRPr="00816DDD">
        <w:rPr>
          <w:szCs w:val="24"/>
        </w:rPr>
        <w:t xml:space="preserve"> </w:t>
      </w:r>
      <w:r w:rsidR="003E6E98">
        <w:rPr>
          <w:szCs w:val="24"/>
        </w:rPr>
        <w:t>guaranteeing</w:t>
      </w:r>
      <w:r w:rsidR="00A7065B" w:rsidRPr="00816DDD">
        <w:rPr>
          <w:szCs w:val="24"/>
        </w:rPr>
        <w:t xml:space="preserve"> all transactions.  When a futures contract is bought or sold, the exchange becomes the buyer to </w:t>
      </w:r>
      <w:r w:rsidR="000035F9" w:rsidRPr="00816DDD">
        <w:rPr>
          <w:szCs w:val="24"/>
        </w:rPr>
        <w:t xml:space="preserve">the </w:t>
      </w:r>
      <w:r w:rsidR="00A7065B" w:rsidRPr="00816DDD">
        <w:rPr>
          <w:szCs w:val="24"/>
        </w:rPr>
        <w:t xml:space="preserve">seller and the seller to </w:t>
      </w:r>
      <w:r w:rsidR="000035F9" w:rsidRPr="00816DDD">
        <w:rPr>
          <w:szCs w:val="24"/>
        </w:rPr>
        <w:t>the</w:t>
      </w:r>
      <w:r w:rsidR="00A7065B" w:rsidRPr="00816DDD">
        <w:rPr>
          <w:szCs w:val="24"/>
        </w:rPr>
        <w:t xml:space="preserve"> buyer.  This reduces </w:t>
      </w:r>
      <w:r w:rsidR="000035F9" w:rsidRPr="00816DDD">
        <w:rPr>
          <w:szCs w:val="24"/>
        </w:rPr>
        <w:t xml:space="preserve">the </w:t>
      </w:r>
      <w:r w:rsidR="000F2B23" w:rsidRPr="00816DDD">
        <w:rPr>
          <w:szCs w:val="24"/>
        </w:rPr>
        <w:t xml:space="preserve">default </w:t>
      </w:r>
      <w:r w:rsidR="00A7065B" w:rsidRPr="00816DDD">
        <w:rPr>
          <w:szCs w:val="24"/>
        </w:rPr>
        <w:t>or counterparty risk</w:t>
      </w:r>
      <w:r w:rsidR="000035F9" w:rsidRPr="00816DDD">
        <w:rPr>
          <w:szCs w:val="24"/>
        </w:rPr>
        <w:t xml:space="preserve"> </w:t>
      </w:r>
      <w:r w:rsidR="00A7065B" w:rsidRPr="00816DDD">
        <w:rPr>
          <w:szCs w:val="24"/>
        </w:rPr>
        <w:t xml:space="preserve">associated with the </w:t>
      </w:r>
      <w:r w:rsidR="00F333CF" w:rsidRPr="00816DDD">
        <w:rPr>
          <w:szCs w:val="24"/>
        </w:rPr>
        <w:t>chance</w:t>
      </w:r>
      <w:r w:rsidR="00002234" w:rsidRPr="00816DDD">
        <w:rPr>
          <w:szCs w:val="24"/>
        </w:rPr>
        <w:t xml:space="preserve"> </w:t>
      </w:r>
      <w:r w:rsidR="00F80ED1" w:rsidRPr="00816DDD">
        <w:rPr>
          <w:szCs w:val="24"/>
        </w:rPr>
        <w:t xml:space="preserve">of </w:t>
      </w:r>
      <w:r w:rsidR="00002234" w:rsidRPr="00816DDD">
        <w:rPr>
          <w:szCs w:val="24"/>
        </w:rPr>
        <w:t xml:space="preserve">a </w:t>
      </w:r>
      <w:r w:rsidR="00A7065B" w:rsidRPr="00816DDD">
        <w:rPr>
          <w:szCs w:val="24"/>
        </w:rPr>
        <w:t>buyer or seller</w:t>
      </w:r>
      <w:r w:rsidR="00002234" w:rsidRPr="00816DDD">
        <w:rPr>
          <w:szCs w:val="24"/>
        </w:rPr>
        <w:t xml:space="preserve"> reneg</w:t>
      </w:r>
      <w:r w:rsidR="00F80ED1" w:rsidRPr="00816DDD">
        <w:rPr>
          <w:szCs w:val="24"/>
        </w:rPr>
        <w:t>ing</w:t>
      </w:r>
      <w:r w:rsidR="00002234" w:rsidRPr="00816DDD">
        <w:rPr>
          <w:szCs w:val="24"/>
        </w:rPr>
        <w:t xml:space="preserve"> on their obligations.  </w:t>
      </w:r>
      <w:r w:rsidR="00F80ED1" w:rsidRPr="00816DDD">
        <w:rPr>
          <w:szCs w:val="24"/>
        </w:rPr>
        <w:t>T</w:t>
      </w:r>
      <w:r w:rsidR="00A7065B" w:rsidRPr="00816DDD">
        <w:rPr>
          <w:szCs w:val="24"/>
        </w:rPr>
        <w:t xml:space="preserve">rading </w:t>
      </w:r>
      <w:r w:rsidR="00F80ED1" w:rsidRPr="00816DDD">
        <w:rPr>
          <w:szCs w:val="24"/>
        </w:rPr>
        <w:t xml:space="preserve">is also </w:t>
      </w:r>
      <w:r w:rsidR="00A7065B" w:rsidRPr="00816DDD">
        <w:rPr>
          <w:szCs w:val="24"/>
        </w:rPr>
        <w:t>done anonymously</w:t>
      </w:r>
      <w:r w:rsidR="00AA0B27">
        <w:rPr>
          <w:szCs w:val="24"/>
        </w:rPr>
        <w:t>,</w:t>
      </w:r>
      <w:r w:rsidR="00002234" w:rsidRPr="00816DDD">
        <w:rPr>
          <w:szCs w:val="24"/>
        </w:rPr>
        <w:t xml:space="preserve"> so </w:t>
      </w:r>
      <w:r w:rsidR="00F333CF" w:rsidRPr="00816DDD">
        <w:rPr>
          <w:szCs w:val="24"/>
        </w:rPr>
        <w:t xml:space="preserve">the activities of </w:t>
      </w:r>
      <w:r w:rsidR="00AD0691" w:rsidRPr="00816DDD">
        <w:rPr>
          <w:szCs w:val="24"/>
        </w:rPr>
        <w:t xml:space="preserve">hedgers and </w:t>
      </w:r>
      <w:r w:rsidR="00F333CF" w:rsidRPr="00816DDD">
        <w:rPr>
          <w:szCs w:val="24"/>
        </w:rPr>
        <w:t>investors are</w:t>
      </w:r>
      <w:r w:rsidR="00AD3483" w:rsidRPr="00816DDD">
        <w:rPr>
          <w:szCs w:val="24"/>
        </w:rPr>
        <w:t xml:space="preserve"> </w:t>
      </w:r>
      <w:r w:rsidR="00E045FE" w:rsidRPr="00816DDD">
        <w:rPr>
          <w:szCs w:val="24"/>
        </w:rPr>
        <w:t>hidden</w:t>
      </w:r>
      <w:r w:rsidR="00002234" w:rsidRPr="00816DDD">
        <w:rPr>
          <w:szCs w:val="24"/>
        </w:rPr>
        <w:t>.</w:t>
      </w:r>
      <w:r w:rsidR="00A7065B" w:rsidRPr="00816DDD">
        <w:rPr>
          <w:szCs w:val="24"/>
        </w:rPr>
        <w:t xml:space="preserve"> </w:t>
      </w:r>
    </w:p>
    <w:p w14:paraId="093FFCDA" w14:textId="77777777" w:rsidR="00931B04" w:rsidRPr="00816DDD" w:rsidRDefault="00931B04" w:rsidP="00F333CF">
      <w:pPr>
        <w:spacing w:after="0" w:line="240" w:lineRule="auto"/>
        <w:rPr>
          <w:sz w:val="20"/>
          <w:szCs w:val="20"/>
        </w:rPr>
      </w:pPr>
    </w:p>
    <w:p w14:paraId="7E7089ED" w14:textId="1D72F7D0" w:rsidR="00931B04" w:rsidRPr="00816DDD" w:rsidRDefault="00C3787E" w:rsidP="009A7EBD">
      <w:pPr>
        <w:spacing w:after="0" w:line="240" w:lineRule="auto"/>
        <w:ind w:right="-36"/>
        <w:rPr>
          <w:szCs w:val="24"/>
        </w:rPr>
      </w:pPr>
      <w:r w:rsidRPr="00816DDD">
        <w:rPr>
          <w:szCs w:val="24"/>
        </w:rPr>
        <w:t xml:space="preserve">To further reduce </w:t>
      </w:r>
      <w:r w:rsidR="000F2B23" w:rsidRPr="00816DDD">
        <w:rPr>
          <w:szCs w:val="24"/>
        </w:rPr>
        <w:t>default</w:t>
      </w:r>
      <w:r w:rsidRPr="00816DDD">
        <w:rPr>
          <w:szCs w:val="24"/>
        </w:rPr>
        <w:t xml:space="preserve"> risk, </w:t>
      </w:r>
      <w:r w:rsidR="00F333CF" w:rsidRPr="00816DDD">
        <w:rPr>
          <w:szCs w:val="24"/>
        </w:rPr>
        <w:t>the buyer and seller are each</w:t>
      </w:r>
      <w:r w:rsidRPr="00816DDD">
        <w:rPr>
          <w:szCs w:val="24"/>
        </w:rPr>
        <w:t xml:space="preserve"> required to make </w:t>
      </w:r>
      <w:r w:rsidR="001F3CAE" w:rsidRPr="00816DDD">
        <w:rPr>
          <w:szCs w:val="24"/>
        </w:rPr>
        <w:t>an upfront</w:t>
      </w:r>
      <w:r w:rsidR="000E5E81" w:rsidRPr="00816DDD">
        <w:rPr>
          <w:szCs w:val="24"/>
        </w:rPr>
        <w:t xml:space="preserve"> </w:t>
      </w:r>
      <w:r w:rsidR="000A0CA7" w:rsidRPr="00816DDD">
        <w:rPr>
          <w:szCs w:val="24"/>
        </w:rPr>
        <w:t>deposit</w:t>
      </w:r>
      <w:r w:rsidR="00973323" w:rsidRPr="00816DDD">
        <w:rPr>
          <w:szCs w:val="24"/>
        </w:rPr>
        <w:t xml:space="preserve"> </w:t>
      </w:r>
      <w:r w:rsidRPr="00816DDD">
        <w:rPr>
          <w:szCs w:val="24"/>
        </w:rPr>
        <w:t>called a</w:t>
      </w:r>
      <w:r w:rsidR="00157CCE" w:rsidRPr="00816DDD">
        <w:rPr>
          <w:szCs w:val="24"/>
        </w:rPr>
        <w:t xml:space="preserve">n initial </w:t>
      </w:r>
      <w:r w:rsidRPr="00816DDD">
        <w:rPr>
          <w:szCs w:val="24"/>
        </w:rPr>
        <w:t>margin</w:t>
      </w:r>
      <w:r w:rsidR="00480F0E" w:rsidRPr="00816DDD">
        <w:rPr>
          <w:szCs w:val="24"/>
        </w:rPr>
        <w:t xml:space="preserve"> </w:t>
      </w:r>
      <w:r w:rsidR="00A1702A" w:rsidRPr="00816DDD">
        <w:rPr>
          <w:szCs w:val="24"/>
        </w:rPr>
        <w:t xml:space="preserve">consisting of cash or other collateral </w:t>
      </w:r>
      <w:r w:rsidR="003D3C48" w:rsidRPr="00816DDD">
        <w:rPr>
          <w:szCs w:val="24"/>
        </w:rPr>
        <w:t xml:space="preserve">when they open a position </w:t>
      </w:r>
      <w:r w:rsidR="00723276" w:rsidRPr="00816DDD">
        <w:rPr>
          <w:szCs w:val="24"/>
        </w:rPr>
        <w:t xml:space="preserve">to cover any potential losses on the futures contract.  </w:t>
      </w:r>
      <w:r w:rsidR="00D120D8" w:rsidRPr="00816DDD">
        <w:rPr>
          <w:szCs w:val="24"/>
        </w:rPr>
        <w:t>The initial margin</w:t>
      </w:r>
      <w:r w:rsidR="00723276" w:rsidRPr="00816DDD">
        <w:rPr>
          <w:szCs w:val="24"/>
        </w:rPr>
        <w:t xml:space="preserve"> </w:t>
      </w:r>
      <w:r w:rsidR="009849C7" w:rsidRPr="00816DDD">
        <w:rPr>
          <w:szCs w:val="24"/>
        </w:rPr>
        <w:t xml:space="preserve">is </w:t>
      </w:r>
      <w:r w:rsidR="00AD0691" w:rsidRPr="00816DDD">
        <w:rPr>
          <w:szCs w:val="24"/>
        </w:rPr>
        <w:t>determined</w:t>
      </w:r>
      <w:r w:rsidR="00AD3483" w:rsidRPr="00816DDD">
        <w:rPr>
          <w:szCs w:val="24"/>
        </w:rPr>
        <w:t xml:space="preserve"> </w:t>
      </w:r>
      <w:r w:rsidR="009849C7" w:rsidRPr="00816DDD">
        <w:rPr>
          <w:szCs w:val="24"/>
        </w:rPr>
        <w:t xml:space="preserve">by the </w:t>
      </w:r>
      <w:r w:rsidR="00F333CF" w:rsidRPr="00816DDD">
        <w:rPr>
          <w:szCs w:val="24"/>
        </w:rPr>
        <w:t xml:space="preserve">futures </w:t>
      </w:r>
      <w:r w:rsidR="009849C7" w:rsidRPr="00816DDD">
        <w:rPr>
          <w:szCs w:val="24"/>
        </w:rPr>
        <w:t xml:space="preserve">exchange </w:t>
      </w:r>
      <w:r w:rsidR="00AD3483" w:rsidRPr="00816DDD">
        <w:rPr>
          <w:szCs w:val="24"/>
        </w:rPr>
        <w:t xml:space="preserve">using simulation software </w:t>
      </w:r>
      <w:r w:rsidR="00AD0691" w:rsidRPr="00816DDD">
        <w:rPr>
          <w:szCs w:val="24"/>
        </w:rPr>
        <w:t xml:space="preserve">that </w:t>
      </w:r>
      <w:r w:rsidR="000E5E81" w:rsidRPr="00816DDD">
        <w:rPr>
          <w:szCs w:val="24"/>
        </w:rPr>
        <w:t>incorporat</w:t>
      </w:r>
      <w:r w:rsidR="00AD0691" w:rsidRPr="00816DDD">
        <w:rPr>
          <w:szCs w:val="24"/>
        </w:rPr>
        <w:t>es</w:t>
      </w:r>
      <w:r w:rsidR="009E18D2" w:rsidRPr="00816DDD">
        <w:rPr>
          <w:szCs w:val="24"/>
        </w:rPr>
        <w:t xml:space="preserve"> </w:t>
      </w:r>
      <w:r w:rsidR="00D120D8" w:rsidRPr="00816DDD">
        <w:rPr>
          <w:szCs w:val="24"/>
        </w:rPr>
        <w:t>the maximum estimated daily change in the contract</w:t>
      </w:r>
      <w:r w:rsidR="004B0DF1" w:rsidRPr="00816DDD">
        <w:rPr>
          <w:szCs w:val="24"/>
        </w:rPr>
        <w:t>’s</w:t>
      </w:r>
      <w:r w:rsidR="00D120D8" w:rsidRPr="00816DDD">
        <w:rPr>
          <w:szCs w:val="24"/>
        </w:rPr>
        <w:t xml:space="preserve"> value</w:t>
      </w:r>
      <w:r w:rsidR="008C6E69" w:rsidRPr="00816DDD">
        <w:rPr>
          <w:szCs w:val="24"/>
        </w:rPr>
        <w:t xml:space="preserve"> - </w:t>
      </w:r>
      <w:r w:rsidR="00D120D8" w:rsidRPr="00816DDD">
        <w:rPr>
          <w:szCs w:val="24"/>
        </w:rPr>
        <w:t>the riskier the underlying asset</w:t>
      </w:r>
      <w:r w:rsidR="00AD0691" w:rsidRPr="00816DDD">
        <w:rPr>
          <w:szCs w:val="24"/>
        </w:rPr>
        <w:t xml:space="preserve">, </w:t>
      </w:r>
      <w:r w:rsidR="00D120D8" w:rsidRPr="00816DDD">
        <w:rPr>
          <w:szCs w:val="24"/>
        </w:rPr>
        <w:t xml:space="preserve">the higher the margin required. </w:t>
      </w:r>
      <w:r w:rsidR="002008C2" w:rsidRPr="00816DDD">
        <w:rPr>
          <w:szCs w:val="24"/>
        </w:rPr>
        <w:t xml:space="preserve"> </w:t>
      </w:r>
      <w:r w:rsidR="009E18D2" w:rsidRPr="00816DDD">
        <w:rPr>
          <w:szCs w:val="24"/>
        </w:rPr>
        <w:t xml:space="preserve">The margin </w:t>
      </w:r>
      <w:r w:rsidR="000E5E81" w:rsidRPr="00816DDD">
        <w:rPr>
          <w:szCs w:val="24"/>
        </w:rPr>
        <w:t xml:space="preserve">typically </w:t>
      </w:r>
      <w:r w:rsidR="00AE573E" w:rsidRPr="00816DDD">
        <w:rPr>
          <w:szCs w:val="24"/>
        </w:rPr>
        <w:t>varies from 2.0% to 1</w:t>
      </w:r>
      <w:r w:rsidR="00E77B7E" w:rsidRPr="00816DDD">
        <w:rPr>
          <w:szCs w:val="24"/>
        </w:rPr>
        <w:t>2</w:t>
      </w:r>
      <w:r w:rsidR="00AE573E" w:rsidRPr="00816DDD">
        <w:rPr>
          <w:szCs w:val="24"/>
        </w:rPr>
        <w:t xml:space="preserve">.0% of the </w:t>
      </w:r>
      <w:r w:rsidR="009E18D2" w:rsidRPr="00816DDD">
        <w:rPr>
          <w:szCs w:val="24"/>
        </w:rPr>
        <w:t xml:space="preserve">contract’s </w:t>
      </w:r>
      <w:r w:rsidR="00C658C3" w:rsidRPr="00816DDD">
        <w:rPr>
          <w:szCs w:val="24"/>
        </w:rPr>
        <w:t xml:space="preserve">settlement </w:t>
      </w:r>
      <w:r w:rsidR="00AE573E" w:rsidRPr="00816DDD">
        <w:rPr>
          <w:szCs w:val="24"/>
        </w:rPr>
        <w:t xml:space="preserve">value.  </w:t>
      </w:r>
      <w:r w:rsidR="00AD0691" w:rsidRPr="00816DDD">
        <w:rPr>
          <w:szCs w:val="24"/>
        </w:rPr>
        <w:t>B</w:t>
      </w:r>
      <w:r w:rsidR="00AE573E" w:rsidRPr="00816DDD">
        <w:rPr>
          <w:szCs w:val="24"/>
        </w:rPr>
        <w:t>rokers who trade</w:t>
      </w:r>
      <w:r w:rsidR="009E18D2" w:rsidRPr="00816DDD">
        <w:rPr>
          <w:szCs w:val="24"/>
        </w:rPr>
        <w:t xml:space="preserve"> </w:t>
      </w:r>
      <w:r w:rsidR="00AD0691" w:rsidRPr="00816DDD">
        <w:rPr>
          <w:szCs w:val="24"/>
        </w:rPr>
        <w:t xml:space="preserve">futures </w:t>
      </w:r>
      <w:r w:rsidR="009E18D2" w:rsidRPr="00816DDD">
        <w:rPr>
          <w:szCs w:val="24"/>
        </w:rPr>
        <w:t>for clients</w:t>
      </w:r>
      <w:r w:rsidR="00AE573E" w:rsidRPr="00816DDD">
        <w:rPr>
          <w:szCs w:val="24"/>
        </w:rPr>
        <w:t xml:space="preserve"> on </w:t>
      </w:r>
      <w:r w:rsidR="001C1D25" w:rsidRPr="00816DDD">
        <w:rPr>
          <w:szCs w:val="24"/>
        </w:rPr>
        <w:t>an</w:t>
      </w:r>
      <w:r w:rsidR="00AE573E" w:rsidRPr="00816DDD">
        <w:rPr>
          <w:szCs w:val="24"/>
        </w:rPr>
        <w:t xml:space="preserve"> exchange </w:t>
      </w:r>
      <w:r w:rsidR="000E5E81" w:rsidRPr="00816DDD">
        <w:rPr>
          <w:szCs w:val="24"/>
        </w:rPr>
        <w:t>may</w:t>
      </w:r>
      <w:r w:rsidR="008E7D40" w:rsidRPr="00816DDD">
        <w:rPr>
          <w:szCs w:val="24"/>
        </w:rPr>
        <w:t xml:space="preserve"> </w:t>
      </w:r>
      <w:r w:rsidR="00AE573E" w:rsidRPr="00816DDD">
        <w:rPr>
          <w:szCs w:val="24"/>
        </w:rPr>
        <w:t xml:space="preserve">charge a higher </w:t>
      </w:r>
      <w:r w:rsidR="008E7D40" w:rsidRPr="00816DDD">
        <w:rPr>
          <w:szCs w:val="24"/>
        </w:rPr>
        <w:t xml:space="preserve">initial </w:t>
      </w:r>
      <w:r w:rsidR="00AE573E" w:rsidRPr="00816DDD">
        <w:rPr>
          <w:szCs w:val="24"/>
        </w:rPr>
        <w:t xml:space="preserve">margin for newer or smaller </w:t>
      </w:r>
      <w:proofErr w:type="gramStart"/>
      <w:r w:rsidR="00AE573E" w:rsidRPr="00816DDD">
        <w:rPr>
          <w:szCs w:val="24"/>
        </w:rPr>
        <w:t>accounts</w:t>
      </w:r>
      <w:r w:rsidR="0051511B">
        <w:rPr>
          <w:szCs w:val="24"/>
        </w:rPr>
        <w:t>,</w:t>
      </w:r>
      <w:r w:rsidR="008E7D40" w:rsidRPr="00816DDD">
        <w:rPr>
          <w:szCs w:val="24"/>
        </w:rPr>
        <w:t xml:space="preserve"> </w:t>
      </w:r>
      <w:r w:rsidR="00AE573E" w:rsidRPr="00816DDD">
        <w:rPr>
          <w:szCs w:val="24"/>
        </w:rPr>
        <w:t>but</w:t>
      </w:r>
      <w:proofErr w:type="gramEnd"/>
      <w:r w:rsidR="00AE573E" w:rsidRPr="00816DDD">
        <w:rPr>
          <w:szCs w:val="24"/>
        </w:rPr>
        <w:t xml:space="preserve"> are not allowed to charge less.</w:t>
      </w:r>
    </w:p>
    <w:p w14:paraId="3F4FDD7C" w14:textId="77777777" w:rsidR="00931B04" w:rsidRPr="00816DDD" w:rsidRDefault="00931B04" w:rsidP="00931B04">
      <w:pPr>
        <w:spacing w:after="0" w:line="240" w:lineRule="auto"/>
        <w:rPr>
          <w:sz w:val="20"/>
          <w:szCs w:val="20"/>
        </w:rPr>
      </w:pPr>
    </w:p>
    <w:p w14:paraId="7143D20A" w14:textId="359F4DA3" w:rsidR="000514D5" w:rsidRPr="00816DDD" w:rsidRDefault="00973323" w:rsidP="0051511B">
      <w:pPr>
        <w:spacing w:after="0" w:line="240" w:lineRule="auto"/>
        <w:ind w:right="-126"/>
        <w:rPr>
          <w:szCs w:val="24"/>
        </w:rPr>
      </w:pPr>
      <w:r w:rsidRPr="00816DDD">
        <w:rPr>
          <w:szCs w:val="24"/>
        </w:rPr>
        <w:t>As the value of the futures contract rises and fall</w:t>
      </w:r>
      <w:r w:rsidR="0067044A" w:rsidRPr="00816DDD">
        <w:rPr>
          <w:szCs w:val="24"/>
        </w:rPr>
        <w:t>s</w:t>
      </w:r>
      <w:r w:rsidR="00221471" w:rsidRPr="00816DDD">
        <w:rPr>
          <w:szCs w:val="24"/>
        </w:rPr>
        <w:t xml:space="preserve"> each day</w:t>
      </w:r>
      <w:r w:rsidRPr="00816DDD">
        <w:rPr>
          <w:szCs w:val="24"/>
        </w:rPr>
        <w:t xml:space="preserve">, </w:t>
      </w:r>
      <w:r w:rsidR="00221471" w:rsidRPr="00816DDD">
        <w:rPr>
          <w:szCs w:val="24"/>
        </w:rPr>
        <w:t xml:space="preserve">any gains or losses are </w:t>
      </w:r>
      <w:r w:rsidR="008635E5" w:rsidRPr="00816DDD">
        <w:rPr>
          <w:szCs w:val="24"/>
        </w:rPr>
        <w:t>added</w:t>
      </w:r>
      <w:r w:rsidR="000E5E81" w:rsidRPr="00816DDD">
        <w:rPr>
          <w:szCs w:val="24"/>
        </w:rPr>
        <w:t xml:space="preserve"> to</w:t>
      </w:r>
      <w:r w:rsidR="008635E5" w:rsidRPr="00816DDD">
        <w:rPr>
          <w:szCs w:val="24"/>
        </w:rPr>
        <w:t xml:space="preserve"> or subtracted from </w:t>
      </w:r>
      <w:r w:rsidR="00221471" w:rsidRPr="00816DDD">
        <w:rPr>
          <w:szCs w:val="24"/>
        </w:rPr>
        <w:t xml:space="preserve">a </w:t>
      </w:r>
      <w:r w:rsidR="009849C7" w:rsidRPr="00816DDD">
        <w:rPr>
          <w:szCs w:val="24"/>
        </w:rPr>
        <w:t>trader’s</w:t>
      </w:r>
      <w:r w:rsidR="0067044A" w:rsidRPr="00816DDD">
        <w:rPr>
          <w:szCs w:val="24"/>
        </w:rPr>
        <w:t xml:space="preserve"> margin account.  Each trader is required </w:t>
      </w:r>
      <w:r w:rsidR="0067044A" w:rsidRPr="00816DDD">
        <w:rPr>
          <w:rFonts w:hint="cs"/>
          <w:szCs w:val="24"/>
        </w:rPr>
        <w:t>to maintain their margin</w:t>
      </w:r>
      <w:r w:rsidR="00101A4C" w:rsidRPr="00816DDD">
        <w:rPr>
          <w:szCs w:val="24"/>
        </w:rPr>
        <w:t xml:space="preserve"> requirement</w:t>
      </w:r>
      <w:r w:rsidR="0067044A" w:rsidRPr="00816DDD">
        <w:rPr>
          <w:rFonts w:hint="cs"/>
          <w:szCs w:val="24"/>
        </w:rPr>
        <w:t xml:space="preserve"> over the life of the contract and to make additional payments or margin calls if</w:t>
      </w:r>
      <w:r w:rsidR="008635E5" w:rsidRPr="00816DDD">
        <w:rPr>
          <w:szCs w:val="24"/>
        </w:rPr>
        <w:t xml:space="preserve"> </w:t>
      </w:r>
      <w:r w:rsidR="000E5E81" w:rsidRPr="00816DDD">
        <w:rPr>
          <w:szCs w:val="24"/>
        </w:rPr>
        <w:t xml:space="preserve">the account is </w:t>
      </w:r>
      <w:r w:rsidR="00D120D8" w:rsidRPr="00816DDD">
        <w:rPr>
          <w:rFonts w:hint="cs"/>
          <w:szCs w:val="24"/>
        </w:rPr>
        <w:t>deficient</w:t>
      </w:r>
      <w:r w:rsidR="0067044A" w:rsidRPr="00816DDD">
        <w:rPr>
          <w:rFonts w:hint="cs"/>
          <w:szCs w:val="24"/>
        </w:rPr>
        <w:t xml:space="preserve">.  </w:t>
      </w:r>
      <w:r w:rsidR="00723276" w:rsidRPr="00816DDD">
        <w:rPr>
          <w:rFonts w:hint="cs"/>
          <w:szCs w:val="24"/>
        </w:rPr>
        <w:t xml:space="preserve">The </w:t>
      </w:r>
      <w:r w:rsidR="009849C7" w:rsidRPr="00816DDD">
        <w:rPr>
          <w:spacing w:val="7"/>
          <w:shd w:val="clear" w:color="auto" w:fill="FFFFFF"/>
        </w:rPr>
        <w:t>m</w:t>
      </w:r>
      <w:r w:rsidR="008C6E69" w:rsidRPr="00816DDD">
        <w:rPr>
          <w:rFonts w:hint="cs"/>
          <w:spacing w:val="7"/>
          <w:shd w:val="clear" w:color="auto" w:fill="FFFFFF"/>
        </w:rPr>
        <w:t>aintenance margin is the minimum amount that must be maintained at any given time</w:t>
      </w:r>
      <w:r w:rsidR="00723276" w:rsidRPr="00816DDD">
        <w:rPr>
          <w:rFonts w:hint="cs"/>
          <w:spacing w:val="7"/>
          <w:shd w:val="clear" w:color="auto" w:fill="FFFFFF"/>
        </w:rPr>
        <w:t xml:space="preserve"> and </w:t>
      </w:r>
      <w:r w:rsidR="00AD3483" w:rsidRPr="00816DDD">
        <w:rPr>
          <w:spacing w:val="7"/>
          <w:shd w:val="clear" w:color="auto" w:fill="FFFFFF"/>
        </w:rPr>
        <w:t xml:space="preserve">is </w:t>
      </w:r>
      <w:r w:rsidR="00AA709B" w:rsidRPr="00816DDD">
        <w:rPr>
          <w:spacing w:val="7"/>
          <w:shd w:val="clear" w:color="auto" w:fill="FFFFFF"/>
        </w:rPr>
        <w:t xml:space="preserve">less than the </w:t>
      </w:r>
      <w:r w:rsidR="00723276" w:rsidRPr="00816DDD">
        <w:rPr>
          <w:rFonts w:hint="cs"/>
          <w:spacing w:val="7"/>
          <w:shd w:val="clear" w:color="auto" w:fill="FFFFFF"/>
        </w:rPr>
        <w:t>initial margin</w:t>
      </w:r>
      <w:r w:rsidR="008E7D40" w:rsidRPr="00816DDD">
        <w:rPr>
          <w:spacing w:val="7"/>
          <w:shd w:val="clear" w:color="auto" w:fill="FFFFFF"/>
        </w:rPr>
        <w:t xml:space="preserve">, usually </w:t>
      </w:r>
      <w:r w:rsidR="00A93D41" w:rsidRPr="00816DDD">
        <w:rPr>
          <w:spacing w:val="7"/>
          <w:shd w:val="clear" w:color="auto" w:fill="FFFFFF"/>
        </w:rPr>
        <w:t xml:space="preserve">50% to </w:t>
      </w:r>
      <w:r w:rsidR="008E7D40" w:rsidRPr="00816DDD">
        <w:rPr>
          <w:spacing w:val="7"/>
          <w:shd w:val="clear" w:color="auto" w:fill="FFFFFF"/>
        </w:rPr>
        <w:t>75%</w:t>
      </w:r>
      <w:r w:rsidR="00723276" w:rsidRPr="00816DDD">
        <w:rPr>
          <w:rFonts w:hint="cs"/>
          <w:spacing w:val="7"/>
          <w:shd w:val="clear" w:color="auto" w:fill="FFFFFF"/>
        </w:rPr>
        <w:t>.</w:t>
      </w:r>
      <w:r w:rsidR="00723276" w:rsidRPr="00816DDD">
        <w:rPr>
          <w:szCs w:val="24"/>
        </w:rPr>
        <w:t xml:space="preserve"> </w:t>
      </w:r>
      <w:r w:rsidR="00A1702A" w:rsidRPr="00816DDD">
        <w:rPr>
          <w:szCs w:val="24"/>
        </w:rPr>
        <w:t>The maintenance margin is below the initial margin</w:t>
      </w:r>
      <w:r w:rsidR="00AA0B27">
        <w:rPr>
          <w:szCs w:val="24"/>
        </w:rPr>
        <w:t>,</w:t>
      </w:r>
      <w:r w:rsidR="00A1702A" w:rsidRPr="00816DDD">
        <w:rPr>
          <w:szCs w:val="24"/>
        </w:rPr>
        <w:t xml:space="preserve"> so a margin call will not be required immediately after the initial transaction if the price of the contract moves against </w:t>
      </w:r>
      <w:r w:rsidR="00101A4C" w:rsidRPr="00816DDD">
        <w:rPr>
          <w:szCs w:val="24"/>
        </w:rPr>
        <w:t>a</w:t>
      </w:r>
      <w:r w:rsidR="00A1702A" w:rsidRPr="00816DDD">
        <w:rPr>
          <w:szCs w:val="24"/>
        </w:rPr>
        <w:t xml:space="preserve"> </w:t>
      </w:r>
      <w:r w:rsidR="00101A4C" w:rsidRPr="00816DDD">
        <w:rPr>
          <w:szCs w:val="24"/>
        </w:rPr>
        <w:t>party</w:t>
      </w:r>
      <w:r w:rsidR="00A1702A" w:rsidRPr="00816DDD">
        <w:rPr>
          <w:szCs w:val="24"/>
        </w:rPr>
        <w:t xml:space="preserve">.  </w:t>
      </w:r>
      <w:r w:rsidR="00101A4C" w:rsidRPr="00816DDD">
        <w:rPr>
          <w:szCs w:val="24"/>
        </w:rPr>
        <w:t xml:space="preserve">When the value of the margin account falls below the maintenance margin, the party must contribute additional collateral to bring the balance </w:t>
      </w:r>
      <w:r w:rsidR="00AD0691" w:rsidRPr="00816DDD">
        <w:rPr>
          <w:szCs w:val="24"/>
        </w:rPr>
        <w:t xml:space="preserve">back </w:t>
      </w:r>
      <w:r w:rsidR="00101A4C" w:rsidRPr="00816DDD">
        <w:rPr>
          <w:szCs w:val="24"/>
        </w:rPr>
        <w:t xml:space="preserve">to the initial margin.  </w:t>
      </w:r>
      <w:r w:rsidR="0067044A" w:rsidRPr="00816DDD">
        <w:rPr>
          <w:szCs w:val="24"/>
        </w:rPr>
        <w:t>This process is called market-to-market</w:t>
      </w:r>
      <w:r w:rsidR="00221471" w:rsidRPr="00816DDD">
        <w:rPr>
          <w:szCs w:val="24"/>
        </w:rPr>
        <w:t xml:space="preserve"> or daily settlement and </w:t>
      </w:r>
      <w:r w:rsidR="001C1D25" w:rsidRPr="00816DDD">
        <w:rPr>
          <w:szCs w:val="24"/>
        </w:rPr>
        <w:t>is</w:t>
      </w:r>
      <w:r w:rsidR="00221471" w:rsidRPr="00816DDD">
        <w:rPr>
          <w:szCs w:val="24"/>
        </w:rPr>
        <w:t xml:space="preserve"> done </w:t>
      </w:r>
      <w:r w:rsidR="00780DFE" w:rsidRPr="00816DDD">
        <w:rPr>
          <w:szCs w:val="24"/>
        </w:rPr>
        <w:t>more often if the market for the underlying asset becomes highly volatile.</w:t>
      </w:r>
      <w:r w:rsidR="00D120D8" w:rsidRPr="00816DDD">
        <w:rPr>
          <w:szCs w:val="24"/>
        </w:rPr>
        <w:t xml:space="preserve">  Margin calls must be </w:t>
      </w:r>
      <w:r w:rsidR="00FF17FF" w:rsidRPr="00816DDD">
        <w:rPr>
          <w:szCs w:val="24"/>
        </w:rPr>
        <w:t>paid for</w:t>
      </w:r>
      <w:r w:rsidR="00157CCE" w:rsidRPr="00816DDD">
        <w:rPr>
          <w:szCs w:val="24"/>
        </w:rPr>
        <w:t xml:space="preserve"> </w:t>
      </w:r>
      <w:r w:rsidR="00780DFE" w:rsidRPr="00816DDD">
        <w:rPr>
          <w:szCs w:val="24"/>
        </w:rPr>
        <w:t>on the same day</w:t>
      </w:r>
      <w:r w:rsidR="00157CCE" w:rsidRPr="00816DDD">
        <w:rPr>
          <w:szCs w:val="24"/>
        </w:rPr>
        <w:t xml:space="preserve">.  If </w:t>
      </w:r>
      <w:r w:rsidR="001F3CAE" w:rsidRPr="00816DDD">
        <w:rPr>
          <w:szCs w:val="24"/>
        </w:rPr>
        <w:t xml:space="preserve">they are </w:t>
      </w:r>
      <w:r w:rsidR="00157CCE" w:rsidRPr="00816DDD">
        <w:rPr>
          <w:szCs w:val="24"/>
        </w:rPr>
        <w:t xml:space="preserve">not, </w:t>
      </w:r>
      <w:r w:rsidR="00780DFE" w:rsidRPr="00816DDD">
        <w:rPr>
          <w:szCs w:val="24"/>
        </w:rPr>
        <w:t xml:space="preserve">the exchange </w:t>
      </w:r>
      <w:r w:rsidR="00AD0691" w:rsidRPr="00816DDD">
        <w:rPr>
          <w:szCs w:val="24"/>
        </w:rPr>
        <w:t xml:space="preserve">reduces or </w:t>
      </w:r>
      <w:r w:rsidR="00780DFE" w:rsidRPr="00816DDD">
        <w:rPr>
          <w:szCs w:val="24"/>
        </w:rPr>
        <w:t>close</w:t>
      </w:r>
      <w:r w:rsidR="008E7D40" w:rsidRPr="00816DDD">
        <w:rPr>
          <w:szCs w:val="24"/>
        </w:rPr>
        <w:t>s</w:t>
      </w:r>
      <w:r w:rsidR="00723276" w:rsidRPr="00816DDD">
        <w:rPr>
          <w:szCs w:val="24"/>
        </w:rPr>
        <w:t xml:space="preserve"> out </w:t>
      </w:r>
      <w:r w:rsidR="008E7D40" w:rsidRPr="00816DDD">
        <w:rPr>
          <w:szCs w:val="24"/>
        </w:rPr>
        <w:t xml:space="preserve">the position </w:t>
      </w:r>
      <w:r w:rsidR="00221471" w:rsidRPr="00816DDD">
        <w:rPr>
          <w:szCs w:val="24"/>
        </w:rPr>
        <w:t xml:space="preserve">and </w:t>
      </w:r>
      <w:r w:rsidR="00780DFE" w:rsidRPr="00816DDD">
        <w:rPr>
          <w:szCs w:val="24"/>
        </w:rPr>
        <w:t>demand</w:t>
      </w:r>
      <w:r w:rsidR="00221471" w:rsidRPr="00816DDD">
        <w:rPr>
          <w:szCs w:val="24"/>
        </w:rPr>
        <w:t>s</w:t>
      </w:r>
      <w:r w:rsidR="00780DFE" w:rsidRPr="00816DDD">
        <w:rPr>
          <w:szCs w:val="24"/>
        </w:rPr>
        <w:t xml:space="preserve"> immediate payment for </w:t>
      </w:r>
      <w:r w:rsidR="000812FE" w:rsidRPr="00816DDD">
        <w:rPr>
          <w:szCs w:val="24"/>
        </w:rPr>
        <w:t xml:space="preserve">what is </w:t>
      </w:r>
      <w:r w:rsidR="00723276" w:rsidRPr="00816DDD">
        <w:rPr>
          <w:szCs w:val="24"/>
        </w:rPr>
        <w:t>owed</w:t>
      </w:r>
      <w:r w:rsidR="00780DFE" w:rsidRPr="00816DDD">
        <w:rPr>
          <w:szCs w:val="24"/>
        </w:rPr>
        <w:t>.</w:t>
      </w:r>
      <w:r w:rsidR="008635E5" w:rsidRPr="00816DDD">
        <w:rPr>
          <w:szCs w:val="24"/>
        </w:rPr>
        <w:t xml:space="preserve">  </w:t>
      </w:r>
    </w:p>
    <w:p w14:paraId="57CE2060" w14:textId="1CCC013B" w:rsidR="000812FE" w:rsidRPr="00816DDD" w:rsidRDefault="000812FE" w:rsidP="00931B04">
      <w:pPr>
        <w:spacing w:after="0" w:line="240" w:lineRule="auto"/>
        <w:rPr>
          <w:sz w:val="20"/>
          <w:szCs w:val="20"/>
        </w:rPr>
      </w:pPr>
    </w:p>
    <w:p w14:paraId="1E5FB0B0" w14:textId="34D52CAC" w:rsidR="00764792" w:rsidRPr="00816DDD" w:rsidRDefault="00764792" w:rsidP="00931B04">
      <w:pPr>
        <w:spacing w:after="0" w:line="240" w:lineRule="auto"/>
        <w:rPr>
          <w:szCs w:val="24"/>
        </w:rPr>
      </w:pPr>
      <w:r w:rsidRPr="00816DDD">
        <w:rPr>
          <w:szCs w:val="24"/>
        </w:rPr>
        <w:t>For example, a company</w:t>
      </w:r>
      <w:r w:rsidR="00963011" w:rsidRPr="00816DDD">
        <w:rPr>
          <w:szCs w:val="24"/>
        </w:rPr>
        <w:t xml:space="preserve"> </w:t>
      </w:r>
      <w:r w:rsidR="008D7878" w:rsidRPr="00816DDD">
        <w:rPr>
          <w:szCs w:val="24"/>
        </w:rPr>
        <w:t xml:space="preserve">went long and </w:t>
      </w:r>
      <w:r w:rsidRPr="00816DDD">
        <w:rPr>
          <w:szCs w:val="24"/>
        </w:rPr>
        <w:t xml:space="preserve">agreed to buy </w:t>
      </w:r>
      <w:r w:rsidR="00091730" w:rsidRPr="00816DDD">
        <w:rPr>
          <w:szCs w:val="24"/>
        </w:rPr>
        <w:t>40</w:t>
      </w:r>
      <w:r w:rsidRPr="00816DDD">
        <w:rPr>
          <w:szCs w:val="24"/>
        </w:rPr>
        <w:t>,000</w:t>
      </w:r>
      <w:r w:rsidR="00FF4522" w:rsidRPr="00816DDD">
        <w:rPr>
          <w:szCs w:val="24"/>
        </w:rPr>
        <w:t xml:space="preserve"> t</w:t>
      </w:r>
      <w:r w:rsidR="000E5E81" w:rsidRPr="00816DDD">
        <w:rPr>
          <w:szCs w:val="24"/>
        </w:rPr>
        <w:t>on</w:t>
      </w:r>
      <w:r w:rsidR="00FF4522" w:rsidRPr="00816DDD">
        <w:rPr>
          <w:szCs w:val="24"/>
        </w:rPr>
        <w:t>nes</w:t>
      </w:r>
      <w:r w:rsidR="008D7878" w:rsidRPr="00816DDD">
        <w:rPr>
          <w:szCs w:val="24"/>
        </w:rPr>
        <w:t xml:space="preserve"> of canola </w:t>
      </w:r>
      <w:r w:rsidR="00963011" w:rsidRPr="00816DDD">
        <w:rPr>
          <w:szCs w:val="24"/>
        </w:rPr>
        <w:t xml:space="preserve">by </w:t>
      </w:r>
      <w:r w:rsidR="002C1684" w:rsidRPr="00816DDD">
        <w:rPr>
          <w:szCs w:val="24"/>
        </w:rPr>
        <w:t>entering</w:t>
      </w:r>
      <w:r w:rsidR="00963011" w:rsidRPr="00816DDD">
        <w:rPr>
          <w:szCs w:val="24"/>
        </w:rPr>
        <w:t xml:space="preserve"> </w:t>
      </w:r>
      <w:r w:rsidR="00091730" w:rsidRPr="00816DDD">
        <w:rPr>
          <w:szCs w:val="24"/>
        </w:rPr>
        <w:t>two</w:t>
      </w:r>
      <w:r w:rsidR="00963011" w:rsidRPr="00816DDD">
        <w:rPr>
          <w:szCs w:val="24"/>
        </w:rPr>
        <w:t xml:space="preserve"> future contracts for 20</w:t>
      </w:r>
      <w:r w:rsidR="000E5E81" w:rsidRPr="00816DDD">
        <w:rPr>
          <w:szCs w:val="24"/>
        </w:rPr>
        <w:t>,000</w:t>
      </w:r>
      <w:r w:rsidR="00963011" w:rsidRPr="00816DDD">
        <w:rPr>
          <w:szCs w:val="24"/>
        </w:rPr>
        <w:t xml:space="preserve"> </w:t>
      </w:r>
      <w:r w:rsidR="00FF4522" w:rsidRPr="00816DDD">
        <w:rPr>
          <w:szCs w:val="24"/>
        </w:rPr>
        <w:t>tonnes</w:t>
      </w:r>
      <w:r w:rsidR="00963011" w:rsidRPr="00816DDD">
        <w:rPr>
          <w:szCs w:val="24"/>
        </w:rPr>
        <w:t xml:space="preserve"> each </w:t>
      </w:r>
      <w:r w:rsidR="008D7878" w:rsidRPr="00816DDD">
        <w:rPr>
          <w:szCs w:val="24"/>
        </w:rPr>
        <w:t xml:space="preserve">at a </w:t>
      </w:r>
      <w:r w:rsidR="001C1D25" w:rsidRPr="00816DDD">
        <w:rPr>
          <w:szCs w:val="24"/>
        </w:rPr>
        <w:t xml:space="preserve">final settlement </w:t>
      </w:r>
      <w:r w:rsidR="008D7878" w:rsidRPr="00816DDD">
        <w:rPr>
          <w:szCs w:val="24"/>
        </w:rPr>
        <w:t>price of CAD 800</w:t>
      </w:r>
      <w:r w:rsidR="00091730" w:rsidRPr="00816DDD">
        <w:rPr>
          <w:szCs w:val="24"/>
        </w:rPr>
        <w:t xml:space="preserve"> per </w:t>
      </w:r>
      <w:r w:rsidR="000E5E81" w:rsidRPr="00816DDD">
        <w:rPr>
          <w:szCs w:val="24"/>
        </w:rPr>
        <w:t>metric ton</w:t>
      </w:r>
      <w:r w:rsidR="008D7878" w:rsidRPr="00816DDD">
        <w:rPr>
          <w:szCs w:val="24"/>
        </w:rPr>
        <w:t>.  The initial margi</w:t>
      </w:r>
      <w:r w:rsidR="00963011" w:rsidRPr="00816DDD">
        <w:rPr>
          <w:szCs w:val="24"/>
        </w:rPr>
        <w:t>n is 5.0%</w:t>
      </w:r>
      <w:r w:rsidR="009B0581" w:rsidRPr="00816DDD">
        <w:rPr>
          <w:szCs w:val="24"/>
        </w:rPr>
        <w:t xml:space="preserve"> of the </w:t>
      </w:r>
      <w:r w:rsidR="001C1D25" w:rsidRPr="00816DDD">
        <w:rPr>
          <w:szCs w:val="24"/>
        </w:rPr>
        <w:t xml:space="preserve">settlement </w:t>
      </w:r>
      <w:r w:rsidR="009B0581" w:rsidRPr="00816DDD">
        <w:rPr>
          <w:szCs w:val="24"/>
        </w:rPr>
        <w:t>value of the contract</w:t>
      </w:r>
      <w:r w:rsidR="00AA0B27">
        <w:rPr>
          <w:szCs w:val="24"/>
        </w:rPr>
        <w:t>,</w:t>
      </w:r>
      <w:r w:rsidR="009B0581" w:rsidRPr="00816DDD">
        <w:rPr>
          <w:szCs w:val="24"/>
        </w:rPr>
        <w:t xml:space="preserve"> </w:t>
      </w:r>
      <w:r w:rsidR="00FF4522" w:rsidRPr="00816DDD">
        <w:rPr>
          <w:szCs w:val="24"/>
        </w:rPr>
        <w:t xml:space="preserve">which </w:t>
      </w:r>
      <w:r w:rsidR="00CA68BA" w:rsidRPr="00816DDD">
        <w:rPr>
          <w:szCs w:val="24"/>
        </w:rPr>
        <w:t xml:space="preserve">is CAD 1,600,000 </w:t>
      </w:r>
      <w:r w:rsidR="009B0581" w:rsidRPr="00816DDD">
        <w:rPr>
          <w:szCs w:val="24"/>
        </w:rPr>
        <w:t>(</w:t>
      </w:r>
      <w:r w:rsidR="00CA68BA" w:rsidRPr="00816DDD">
        <w:rPr>
          <w:szCs w:val="24"/>
        </w:rPr>
        <w:t xml:space="preserve">i.e., </w:t>
      </w:r>
      <w:r w:rsidR="009B0581" w:rsidRPr="00816DDD">
        <w:rPr>
          <w:szCs w:val="24"/>
        </w:rPr>
        <w:t>40,000 x CAD 800)</w:t>
      </w:r>
      <w:r w:rsidR="00AA0B27">
        <w:rPr>
          <w:szCs w:val="24"/>
        </w:rPr>
        <w:t>,</w:t>
      </w:r>
      <w:r w:rsidR="00CA68BA" w:rsidRPr="00816DDD">
        <w:rPr>
          <w:szCs w:val="24"/>
        </w:rPr>
        <w:t xml:space="preserve"> </w:t>
      </w:r>
      <w:r w:rsidR="00963011" w:rsidRPr="00816DDD">
        <w:rPr>
          <w:szCs w:val="24"/>
        </w:rPr>
        <w:t>and the maintenance margin is 75.0% of the initial margin</w:t>
      </w:r>
      <w:r w:rsidR="009B0581" w:rsidRPr="00816DDD">
        <w:rPr>
          <w:szCs w:val="24"/>
        </w:rPr>
        <w:t xml:space="preserve"> or CAD 1,200,000</w:t>
      </w:r>
      <w:r w:rsidR="00963011" w:rsidRPr="00816DDD">
        <w:rPr>
          <w:szCs w:val="24"/>
        </w:rPr>
        <w:t xml:space="preserve">.  The spot </w:t>
      </w:r>
      <w:r w:rsidR="00112C90" w:rsidRPr="00816DDD">
        <w:rPr>
          <w:szCs w:val="24"/>
        </w:rPr>
        <w:t xml:space="preserve">or cash prices </w:t>
      </w:r>
      <w:r w:rsidR="00963011" w:rsidRPr="00816DDD">
        <w:rPr>
          <w:szCs w:val="24"/>
        </w:rPr>
        <w:t>of canola over the first f</w:t>
      </w:r>
      <w:r w:rsidR="00CF3D99" w:rsidRPr="00816DDD">
        <w:rPr>
          <w:szCs w:val="24"/>
        </w:rPr>
        <w:t xml:space="preserve">our </w:t>
      </w:r>
      <w:r w:rsidR="00963011" w:rsidRPr="00816DDD">
        <w:rPr>
          <w:szCs w:val="24"/>
        </w:rPr>
        <w:t xml:space="preserve">days </w:t>
      </w:r>
      <w:r w:rsidR="00CF3D99" w:rsidRPr="00816DDD">
        <w:rPr>
          <w:szCs w:val="24"/>
        </w:rPr>
        <w:t>were CAD 801, CAD 802, CAD 7</w:t>
      </w:r>
      <w:r w:rsidR="00091730" w:rsidRPr="00816DDD">
        <w:rPr>
          <w:szCs w:val="24"/>
        </w:rPr>
        <w:t>8</w:t>
      </w:r>
      <w:r w:rsidR="009B0581" w:rsidRPr="00816DDD">
        <w:rPr>
          <w:szCs w:val="24"/>
        </w:rPr>
        <w:t>5</w:t>
      </w:r>
      <w:r w:rsidR="00CF3D99" w:rsidRPr="00816DDD">
        <w:rPr>
          <w:szCs w:val="24"/>
        </w:rPr>
        <w:t>, and CAD 7</w:t>
      </w:r>
      <w:r w:rsidR="00091730" w:rsidRPr="00816DDD">
        <w:rPr>
          <w:szCs w:val="24"/>
        </w:rPr>
        <w:t>8</w:t>
      </w:r>
      <w:r w:rsidR="009B0581" w:rsidRPr="00816DDD">
        <w:rPr>
          <w:szCs w:val="24"/>
        </w:rPr>
        <w:t>6</w:t>
      </w:r>
      <w:r w:rsidR="00CF3D99" w:rsidRPr="00816DDD">
        <w:rPr>
          <w:szCs w:val="24"/>
        </w:rPr>
        <w:t>.  Exhibit 10 contains the daily settlements and margin calls.</w:t>
      </w:r>
    </w:p>
    <w:p w14:paraId="192D001F" w14:textId="77777777" w:rsidR="00CF3D99" w:rsidRPr="00F21269" w:rsidRDefault="00CF3D99" w:rsidP="00931B04">
      <w:pPr>
        <w:spacing w:after="0" w:line="240" w:lineRule="auto"/>
        <w:rPr>
          <w:sz w:val="20"/>
          <w:szCs w:val="20"/>
        </w:rPr>
      </w:pPr>
    </w:p>
    <w:p w14:paraId="0120193B" w14:textId="1F16CA49" w:rsidR="00CF3D99" w:rsidRPr="00816DDD" w:rsidRDefault="00CF3D99" w:rsidP="00CF3D99">
      <w:pPr>
        <w:spacing w:after="0" w:line="240" w:lineRule="auto"/>
        <w:jc w:val="center"/>
        <w:rPr>
          <w:b/>
          <w:bCs/>
          <w:sz w:val="20"/>
          <w:szCs w:val="20"/>
        </w:rPr>
      </w:pPr>
      <w:r w:rsidRPr="00816DDD">
        <w:rPr>
          <w:b/>
          <w:bCs/>
          <w:sz w:val="20"/>
          <w:szCs w:val="20"/>
        </w:rPr>
        <w:t>Exhibit 1</w:t>
      </w:r>
      <w:r w:rsidR="00024B00" w:rsidRPr="00816DDD">
        <w:rPr>
          <w:b/>
          <w:bCs/>
          <w:sz w:val="20"/>
          <w:szCs w:val="20"/>
        </w:rPr>
        <w:t>3</w:t>
      </w:r>
      <w:r w:rsidRPr="00816DDD">
        <w:rPr>
          <w:b/>
          <w:bCs/>
          <w:sz w:val="20"/>
          <w:szCs w:val="20"/>
        </w:rPr>
        <w:t>: Market to Market</w:t>
      </w:r>
      <w:r w:rsidR="00091730" w:rsidRPr="00816DDD">
        <w:rPr>
          <w:b/>
          <w:bCs/>
          <w:sz w:val="20"/>
          <w:szCs w:val="20"/>
        </w:rPr>
        <w:t xml:space="preserve"> </w:t>
      </w:r>
      <w:r w:rsidR="00112C90" w:rsidRPr="00816DDD">
        <w:rPr>
          <w:b/>
          <w:bCs/>
          <w:sz w:val="20"/>
          <w:szCs w:val="20"/>
        </w:rPr>
        <w:t>(CAD)</w:t>
      </w:r>
    </w:p>
    <w:p w14:paraId="3BC77A44" w14:textId="77777777" w:rsidR="00CF3D99" w:rsidRPr="00816DDD" w:rsidRDefault="00CF3D99" w:rsidP="00CF3D99">
      <w:pPr>
        <w:spacing w:after="0" w:line="240" w:lineRule="auto"/>
        <w:jc w:val="center"/>
        <w:rPr>
          <w:b/>
          <w:bCs/>
          <w:sz w:val="20"/>
          <w:szCs w:val="20"/>
        </w:rPr>
      </w:pPr>
    </w:p>
    <w:tbl>
      <w:tblPr>
        <w:tblStyle w:val="TableGrid"/>
        <w:tblW w:w="0" w:type="auto"/>
        <w:tblInd w:w="1795" w:type="dxa"/>
        <w:tblLook w:val="04A0" w:firstRow="1" w:lastRow="0" w:firstColumn="1" w:lastColumn="0" w:noHBand="0" w:noVBand="1"/>
      </w:tblPr>
      <w:tblGrid>
        <w:gridCol w:w="720"/>
        <w:gridCol w:w="900"/>
        <w:gridCol w:w="3060"/>
        <w:gridCol w:w="1800"/>
      </w:tblGrid>
      <w:tr w:rsidR="00816DDD" w:rsidRPr="00816DDD" w14:paraId="1C3C50D0" w14:textId="77777777" w:rsidTr="00CA68BA">
        <w:tc>
          <w:tcPr>
            <w:tcW w:w="720" w:type="dxa"/>
          </w:tcPr>
          <w:p w14:paraId="40E3FEFD" w14:textId="536A76FD" w:rsidR="00CF3D99" w:rsidRPr="00816DDD" w:rsidRDefault="00CF3D99" w:rsidP="00CF3D99">
            <w:pPr>
              <w:jc w:val="center"/>
              <w:rPr>
                <w:b/>
                <w:bCs/>
                <w:sz w:val="20"/>
                <w:szCs w:val="20"/>
              </w:rPr>
            </w:pPr>
            <w:r w:rsidRPr="00816DDD">
              <w:rPr>
                <w:b/>
                <w:bCs/>
                <w:sz w:val="20"/>
                <w:szCs w:val="20"/>
              </w:rPr>
              <w:t>Day</w:t>
            </w:r>
          </w:p>
        </w:tc>
        <w:tc>
          <w:tcPr>
            <w:tcW w:w="900" w:type="dxa"/>
          </w:tcPr>
          <w:p w14:paraId="05BA0B67" w14:textId="6940EAD9" w:rsidR="00CF3D99" w:rsidRPr="00816DDD" w:rsidRDefault="00CF3D99" w:rsidP="00CF3D99">
            <w:pPr>
              <w:jc w:val="center"/>
              <w:rPr>
                <w:b/>
                <w:bCs/>
                <w:sz w:val="20"/>
                <w:szCs w:val="20"/>
              </w:rPr>
            </w:pPr>
            <w:r w:rsidRPr="00816DDD">
              <w:rPr>
                <w:b/>
                <w:bCs/>
                <w:sz w:val="20"/>
                <w:szCs w:val="20"/>
              </w:rPr>
              <w:t>Spot Price</w:t>
            </w:r>
          </w:p>
        </w:tc>
        <w:tc>
          <w:tcPr>
            <w:tcW w:w="3060" w:type="dxa"/>
          </w:tcPr>
          <w:p w14:paraId="4D541994" w14:textId="70AD33EF" w:rsidR="00CF3D99" w:rsidRPr="00816DDD" w:rsidRDefault="00CF3D99" w:rsidP="00CF3D99">
            <w:pPr>
              <w:jc w:val="center"/>
              <w:rPr>
                <w:b/>
                <w:bCs/>
                <w:sz w:val="20"/>
                <w:szCs w:val="20"/>
              </w:rPr>
            </w:pPr>
            <w:r w:rsidRPr="00816DDD">
              <w:rPr>
                <w:b/>
                <w:bCs/>
                <w:sz w:val="20"/>
                <w:szCs w:val="20"/>
              </w:rPr>
              <w:t xml:space="preserve">Daily </w:t>
            </w:r>
            <w:r w:rsidR="00112C90" w:rsidRPr="00816DDD">
              <w:rPr>
                <w:b/>
                <w:bCs/>
                <w:sz w:val="20"/>
                <w:szCs w:val="20"/>
              </w:rPr>
              <w:t>Gain</w:t>
            </w:r>
            <w:r w:rsidRPr="00816DDD">
              <w:rPr>
                <w:b/>
                <w:bCs/>
                <w:sz w:val="20"/>
                <w:szCs w:val="20"/>
              </w:rPr>
              <w:t xml:space="preserve"> or Loss</w:t>
            </w:r>
          </w:p>
        </w:tc>
        <w:tc>
          <w:tcPr>
            <w:tcW w:w="1800" w:type="dxa"/>
          </w:tcPr>
          <w:p w14:paraId="2E660E38" w14:textId="120B8BEA" w:rsidR="00CF3D99" w:rsidRPr="00816DDD" w:rsidRDefault="00CF3D99" w:rsidP="00CF3D99">
            <w:pPr>
              <w:jc w:val="center"/>
              <w:rPr>
                <w:b/>
                <w:bCs/>
                <w:sz w:val="20"/>
                <w:szCs w:val="20"/>
              </w:rPr>
            </w:pPr>
            <w:r w:rsidRPr="00816DDD">
              <w:rPr>
                <w:b/>
                <w:bCs/>
                <w:sz w:val="20"/>
                <w:szCs w:val="20"/>
              </w:rPr>
              <w:t>Margin Account Balance</w:t>
            </w:r>
          </w:p>
        </w:tc>
      </w:tr>
      <w:tr w:rsidR="00816DDD" w:rsidRPr="00816DDD" w14:paraId="3C00A5BA" w14:textId="77777777" w:rsidTr="00CA68BA">
        <w:tc>
          <w:tcPr>
            <w:tcW w:w="720" w:type="dxa"/>
          </w:tcPr>
          <w:p w14:paraId="50F50691" w14:textId="47DE35D2" w:rsidR="00CF3D99" w:rsidRPr="00816DDD" w:rsidRDefault="00CF3D99" w:rsidP="00CF3D99">
            <w:pPr>
              <w:jc w:val="center"/>
              <w:rPr>
                <w:sz w:val="20"/>
                <w:szCs w:val="20"/>
              </w:rPr>
            </w:pPr>
            <w:r w:rsidRPr="00816DDD">
              <w:rPr>
                <w:sz w:val="20"/>
                <w:szCs w:val="20"/>
              </w:rPr>
              <w:t>0</w:t>
            </w:r>
          </w:p>
        </w:tc>
        <w:tc>
          <w:tcPr>
            <w:tcW w:w="900" w:type="dxa"/>
          </w:tcPr>
          <w:p w14:paraId="6309BBB2" w14:textId="4BC7BBAC" w:rsidR="00CF3D99" w:rsidRPr="00816DDD" w:rsidRDefault="00CF3D99" w:rsidP="00CF3D99">
            <w:pPr>
              <w:jc w:val="center"/>
              <w:rPr>
                <w:sz w:val="20"/>
                <w:szCs w:val="20"/>
              </w:rPr>
            </w:pPr>
            <w:r w:rsidRPr="00816DDD">
              <w:rPr>
                <w:sz w:val="20"/>
                <w:szCs w:val="20"/>
              </w:rPr>
              <w:t>800</w:t>
            </w:r>
          </w:p>
        </w:tc>
        <w:tc>
          <w:tcPr>
            <w:tcW w:w="3060" w:type="dxa"/>
          </w:tcPr>
          <w:p w14:paraId="07727F66" w14:textId="3CF8E008" w:rsidR="00CF3D99" w:rsidRPr="00816DDD" w:rsidRDefault="00020158" w:rsidP="00931B04">
            <w:pPr>
              <w:rPr>
                <w:sz w:val="20"/>
                <w:szCs w:val="20"/>
              </w:rPr>
            </w:pPr>
            <w:r w:rsidRPr="00816DDD">
              <w:rPr>
                <w:sz w:val="20"/>
                <w:szCs w:val="20"/>
              </w:rPr>
              <w:t>40,000 x 800 x 0.05 = 1,600,000</w:t>
            </w:r>
          </w:p>
        </w:tc>
        <w:tc>
          <w:tcPr>
            <w:tcW w:w="1800" w:type="dxa"/>
          </w:tcPr>
          <w:p w14:paraId="4E8E1677" w14:textId="5E7A2726" w:rsidR="00CF3D99" w:rsidRPr="00816DDD" w:rsidRDefault="00091730" w:rsidP="00091730">
            <w:pPr>
              <w:jc w:val="center"/>
              <w:rPr>
                <w:sz w:val="20"/>
                <w:szCs w:val="20"/>
              </w:rPr>
            </w:pPr>
            <w:r w:rsidRPr="00816DDD">
              <w:rPr>
                <w:sz w:val="20"/>
                <w:szCs w:val="20"/>
              </w:rPr>
              <w:t>1,600,000</w:t>
            </w:r>
          </w:p>
        </w:tc>
      </w:tr>
      <w:tr w:rsidR="00816DDD" w:rsidRPr="00816DDD" w14:paraId="547233BA" w14:textId="77777777" w:rsidTr="00CA68BA">
        <w:tc>
          <w:tcPr>
            <w:tcW w:w="720" w:type="dxa"/>
          </w:tcPr>
          <w:p w14:paraId="7FE2A9E2" w14:textId="32C39A9F" w:rsidR="00CF3D99" w:rsidRPr="00816DDD" w:rsidRDefault="00CF3D99" w:rsidP="00CF3D99">
            <w:pPr>
              <w:jc w:val="center"/>
              <w:rPr>
                <w:sz w:val="20"/>
                <w:szCs w:val="20"/>
              </w:rPr>
            </w:pPr>
            <w:r w:rsidRPr="00816DDD">
              <w:rPr>
                <w:sz w:val="20"/>
                <w:szCs w:val="20"/>
              </w:rPr>
              <w:t>1</w:t>
            </w:r>
          </w:p>
        </w:tc>
        <w:tc>
          <w:tcPr>
            <w:tcW w:w="900" w:type="dxa"/>
          </w:tcPr>
          <w:p w14:paraId="359C30B9" w14:textId="56C2241D" w:rsidR="00CF3D99" w:rsidRPr="00816DDD" w:rsidRDefault="00CF3D99" w:rsidP="00CF3D99">
            <w:pPr>
              <w:jc w:val="center"/>
              <w:rPr>
                <w:sz w:val="20"/>
                <w:szCs w:val="20"/>
              </w:rPr>
            </w:pPr>
            <w:r w:rsidRPr="00816DDD">
              <w:rPr>
                <w:sz w:val="20"/>
                <w:szCs w:val="20"/>
              </w:rPr>
              <w:t>801</w:t>
            </w:r>
          </w:p>
        </w:tc>
        <w:tc>
          <w:tcPr>
            <w:tcW w:w="3060" w:type="dxa"/>
          </w:tcPr>
          <w:p w14:paraId="4405F928" w14:textId="4E7C23EB" w:rsidR="00CF3D99" w:rsidRPr="00816DDD" w:rsidRDefault="00091730" w:rsidP="00931B04">
            <w:pPr>
              <w:rPr>
                <w:sz w:val="20"/>
                <w:szCs w:val="20"/>
              </w:rPr>
            </w:pPr>
            <w:r w:rsidRPr="00816DDD">
              <w:rPr>
                <w:sz w:val="20"/>
                <w:szCs w:val="20"/>
              </w:rPr>
              <w:t>40,000 x (801 - 800) = 40,000</w:t>
            </w:r>
          </w:p>
        </w:tc>
        <w:tc>
          <w:tcPr>
            <w:tcW w:w="1800" w:type="dxa"/>
          </w:tcPr>
          <w:p w14:paraId="3434461A" w14:textId="70A3C5DF" w:rsidR="00CF3D99" w:rsidRPr="00816DDD" w:rsidRDefault="00091730" w:rsidP="00091730">
            <w:pPr>
              <w:jc w:val="center"/>
              <w:rPr>
                <w:sz w:val="20"/>
                <w:szCs w:val="20"/>
              </w:rPr>
            </w:pPr>
            <w:r w:rsidRPr="00816DDD">
              <w:rPr>
                <w:sz w:val="20"/>
                <w:szCs w:val="20"/>
              </w:rPr>
              <w:t>1,640,000</w:t>
            </w:r>
          </w:p>
        </w:tc>
      </w:tr>
      <w:tr w:rsidR="00816DDD" w:rsidRPr="00816DDD" w14:paraId="0749F78B" w14:textId="77777777" w:rsidTr="00CA68BA">
        <w:tc>
          <w:tcPr>
            <w:tcW w:w="720" w:type="dxa"/>
          </w:tcPr>
          <w:p w14:paraId="3C375012" w14:textId="150F9DBB" w:rsidR="00CF3D99" w:rsidRPr="00816DDD" w:rsidRDefault="00CF3D99" w:rsidP="00CF3D99">
            <w:pPr>
              <w:jc w:val="center"/>
              <w:rPr>
                <w:sz w:val="20"/>
                <w:szCs w:val="20"/>
              </w:rPr>
            </w:pPr>
            <w:r w:rsidRPr="00816DDD">
              <w:rPr>
                <w:sz w:val="20"/>
                <w:szCs w:val="20"/>
              </w:rPr>
              <w:t>2</w:t>
            </w:r>
          </w:p>
        </w:tc>
        <w:tc>
          <w:tcPr>
            <w:tcW w:w="900" w:type="dxa"/>
          </w:tcPr>
          <w:p w14:paraId="310792CA" w14:textId="535AE999" w:rsidR="00CF3D99" w:rsidRPr="00816DDD" w:rsidRDefault="00CF3D99" w:rsidP="00CF3D99">
            <w:pPr>
              <w:jc w:val="center"/>
              <w:rPr>
                <w:sz w:val="20"/>
                <w:szCs w:val="20"/>
              </w:rPr>
            </w:pPr>
            <w:r w:rsidRPr="00816DDD">
              <w:rPr>
                <w:sz w:val="20"/>
                <w:szCs w:val="20"/>
              </w:rPr>
              <w:t>802</w:t>
            </w:r>
          </w:p>
        </w:tc>
        <w:tc>
          <w:tcPr>
            <w:tcW w:w="3060" w:type="dxa"/>
          </w:tcPr>
          <w:p w14:paraId="0A971778" w14:textId="491E53AD" w:rsidR="00CF3D99" w:rsidRPr="00816DDD" w:rsidRDefault="00091730" w:rsidP="00931B04">
            <w:pPr>
              <w:rPr>
                <w:sz w:val="20"/>
                <w:szCs w:val="20"/>
              </w:rPr>
            </w:pPr>
            <w:r w:rsidRPr="00816DDD">
              <w:rPr>
                <w:sz w:val="20"/>
                <w:szCs w:val="20"/>
              </w:rPr>
              <w:t>40,000 x (802 – 801) = 40,000</w:t>
            </w:r>
          </w:p>
        </w:tc>
        <w:tc>
          <w:tcPr>
            <w:tcW w:w="1800" w:type="dxa"/>
          </w:tcPr>
          <w:p w14:paraId="616C0007" w14:textId="3D500230" w:rsidR="00CF3D99" w:rsidRPr="00816DDD" w:rsidRDefault="00091730" w:rsidP="00091730">
            <w:pPr>
              <w:jc w:val="center"/>
              <w:rPr>
                <w:sz w:val="20"/>
                <w:szCs w:val="20"/>
              </w:rPr>
            </w:pPr>
            <w:r w:rsidRPr="00816DDD">
              <w:rPr>
                <w:sz w:val="20"/>
                <w:szCs w:val="20"/>
              </w:rPr>
              <w:t>1,680,000</w:t>
            </w:r>
          </w:p>
        </w:tc>
      </w:tr>
      <w:tr w:rsidR="00816DDD" w:rsidRPr="00816DDD" w14:paraId="1E0C0F4F" w14:textId="77777777" w:rsidTr="00CA68BA">
        <w:tc>
          <w:tcPr>
            <w:tcW w:w="720" w:type="dxa"/>
          </w:tcPr>
          <w:p w14:paraId="3BAA51A9" w14:textId="1322CBDA" w:rsidR="00CF3D99" w:rsidRPr="00816DDD" w:rsidRDefault="00CF3D99" w:rsidP="00CF3D99">
            <w:pPr>
              <w:jc w:val="center"/>
              <w:rPr>
                <w:sz w:val="20"/>
                <w:szCs w:val="20"/>
              </w:rPr>
            </w:pPr>
            <w:r w:rsidRPr="00816DDD">
              <w:rPr>
                <w:sz w:val="20"/>
                <w:szCs w:val="20"/>
              </w:rPr>
              <w:t>3</w:t>
            </w:r>
          </w:p>
        </w:tc>
        <w:tc>
          <w:tcPr>
            <w:tcW w:w="900" w:type="dxa"/>
          </w:tcPr>
          <w:p w14:paraId="100B82C9" w14:textId="6EE85953" w:rsidR="00CF3D99" w:rsidRPr="00816DDD" w:rsidRDefault="00CF3D99" w:rsidP="00CF3D99">
            <w:pPr>
              <w:jc w:val="center"/>
              <w:rPr>
                <w:sz w:val="20"/>
                <w:szCs w:val="20"/>
              </w:rPr>
            </w:pPr>
            <w:r w:rsidRPr="00816DDD">
              <w:rPr>
                <w:sz w:val="20"/>
                <w:szCs w:val="20"/>
              </w:rPr>
              <w:t>7</w:t>
            </w:r>
            <w:r w:rsidR="00112C90" w:rsidRPr="00816DDD">
              <w:rPr>
                <w:sz w:val="20"/>
                <w:szCs w:val="20"/>
              </w:rPr>
              <w:t>8</w:t>
            </w:r>
            <w:r w:rsidRPr="00816DDD">
              <w:rPr>
                <w:sz w:val="20"/>
                <w:szCs w:val="20"/>
              </w:rPr>
              <w:t>5</w:t>
            </w:r>
          </w:p>
        </w:tc>
        <w:tc>
          <w:tcPr>
            <w:tcW w:w="3060" w:type="dxa"/>
          </w:tcPr>
          <w:p w14:paraId="24A509F3" w14:textId="371F0930" w:rsidR="00CF3D99" w:rsidRPr="00816DDD" w:rsidRDefault="00091730" w:rsidP="00931B04">
            <w:pPr>
              <w:rPr>
                <w:sz w:val="20"/>
                <w:szCs w:val="20"/>
              </w:rPr>
            </w:pPr>
            <w:r w:rsidRPr="00816DDD">
              <w:rPr>
                <w:sz w:val="20"/>
                <w:szCs w:val="20"/>
              </w:rPr>
              <w:t>40,000 x (7</w:t>
            </w:r>
            <w:r w:rsidR="009B0581" w:rsidRPr="00816DDD">
              <w:rPr>
                <w:sz w:val="20"/>
                <w:szCs w:val="20"/>
              </w:rPr>
              <w:t>85</w:t>
            </w:r>
            <w:r w:rsidRPr="00816DDD">
              <w:rPr>
                <w:sz w:val="20"/>
                <w:szCs w:val="20"/>
              </w:rPr>
              <w:t xml:space="preserve"> – 801) = -</w:t>
            </w:r>
            <w:r w:rsidR="009B0581" w:rsidRPr="00816DDD">
              <w:rPr>
                <w:sz w:val="20"/>
                <w:szCs w:val="20"/>
              </w:rPr>
              <w:t>640,000</w:t>
            </w:r>
          </w:p>
        </w:tc>
        <w:tc>
          <w:tcPr>
            <w:tcW w:w="1800" w:type="dxa"/>
          </w:tcPr>
          <w:p w14:paraId="6A7B7A34" w14:textId="29FA50E0" w:rsidR="00CF3D99" w:rsidRPr="00816DDD" w:rsidRDefault="00091730" w:rsidP="00091730">
            <w:pPr>
              <w:jc w:val="center"/>
              <w:rPr>
                <w:sz w:val="20"/>
                <w:szCs w:val="20"/>
              </w:rPr>
            </w:pPr>
            <w:r w:rsidRPr="00816DDD">
              <w:rPr>
                <w:sz w:val="20"/>
                <w:szCs w:val="20"/>
              </w:rPr>
              <w:t>1,</w:t>
            </w:r>
            <w:r w:rsidR="009B0581" w:rsidRPr="00816DDD">
              <w:rPr>
                <w:sz w:val="20"/>
                <w:szCs w:val="20"/>
              </w:rPr>
              <w:t>040,000</w:t>
            </w:r>
          </w:p>
        </w:tc>
      </w:tr>
      <w:tr w:rsidR="00816DDD" w:rsidRPr="00816DDD" w14:paraId="6A7E8864" w14:textId="77777777" w:rsidTr="00CA68BA">
        <w:tc>
          <w:tcPr>
            <w:tcW w:w="4680" w:type="dxa"/>
            <w:gridSpan w:val="3"/>
          </w:tcPr>
          <w:p w14:paraId="5DED11CF" w14:textId="44A98DB7" w:rsidR="00020158" w:rsidRPr="00816DDD" w:rsidRDefault="00020158" w:rsidP="00020158">
            <w:pPr>
              <w:jc w:val="center"/>
              <w:rPr>
                <w:sz w:val="20"/>
                <w:szCs w:val="20"/>
              </w:rPr>
            </w:pPr>
            <w:r w:rsidRPr="00816DDD">
              <w:rPr>
                <w:sz w:val="20"/>
                <w:szCs w:val="20"/>
              </w:rPr>
              <w:t>Maintenance margin 1,600,000 x 0.75 = 1,200,000</w:t>
            </w:r>
          </w:p>
          <w:p w14:paraId="6C1D9012" w14:textId="00BC96AD" w:rsidR="009B0581" w:rsidRPr="00816DDD" w:rsidRDefault="009B0581" w:rsidP="009B0581">
            <w:pPr>
              <w:jc w:val="center"/>
              <w:rPr>
                <w:sz w:val="20"/>
                <w:szCs w:val="20"/>
              </w:rPr>
            </w:pPr>
            <w:r w:rsidRPr="00816DDD">
              <w:rPr>
                <w:sz w:val="20"/>
                <w:szCs w:val="20"/>
              </w:rPr>
              <w:t>Margin call 1,600,000 – 1,040,000 = 560,000</w:t>
            </w:r>
          </w:p>
        </w:tc>
        <w:tc>
          <w:tcPr>
            <w:tcW w:w="1800" w:type="dxa"/>
          </w:tcPr>
          <w:p w14:paraId="452D00A5" w14:textId="479F3840" w:rsidR="009B0581" w:rsidRPr="00816DDD" w:rsidRDefault="009B0581" w:rsidP="00091730">
            <w:pPr>
              <w:jc w:val="center"/>
              <w:rPr>
                <w:sz w:val="20"/>
                <w:szCs w:val="20"/>
              </w:rPr>
            </w:pPr>
            <w:r w:rsidRPr="00816DDD">
              <w:rPr>
                <w:sz w:val="20"/>
                <w:szCs w:val="20"/>
              </w:rPr>
              <w:t>1,600,000</w:t>
            </w:r>
          </w:p>
        </w:tc>
      </w:tr>
      <w:tr w:rsidR="00816DDD" w:rsidRPr="00816DDD" w14:paraId="68C06D70" w14:textId="77777777" w:rsidTr="00CA68BA">
        <w:tc>
          <w:tcPr>
            <w:tcW w:w="720" w:type="dxa"/>
          </w:tcPr>
          <w:p w14:paraId="4FB40B30" w14:textId="1CFFA355" w:rsidR="00CF3D99" w:rsidRPr="00816DDD" w:rsidRDefault="00CF3D99" w:rsidP="00CF3D99">
            <w:pPr>
              <w:jc w:val="center"/>
              <w:rPr>
                <w:sz w:val="20"/>
                <w:szCs w:val="20"/>
              </w:rPr>
            </w:pPr>
            <w:r w:rsidRPr="00816DDD">
              <w:rPr>
                <w:sz w:val="20"/>
                <w:szCs w:val="20"/>
              </w:rPr>
              <w:t>4</w:t>
            </w:r>
          </w:p>
        </w:tc>
        <w:tc>
          <w:tcPr>
            <w:tcW w:w="900" w:type="dxa"/>
          </w:tcPr>
          <w:p w14:paraId="491E00D6" w14:textId="3CB6C16D" w:rsidR="00CF3D99" w:rsidRPr="00816DDD" w:rsidRDefault="00CF3D99" w:rsidP="00CF3D99">
            <w:pPr>
              <w:jc w:val="center"/>
              <w:rPr>
                <w:sz w:val="20"/>
                <w:szCs w:val="20"/>
              </w:rPr>
            </w:pPr>
            <w:r w:rsidRPr="00816DDD">
              <w:rPr>
                <w:sz w:val="20"/>
                <w:szCs w:val="20"/>
              </w:rPr>
              <w:t>7</w:t>
            </w:r>
            <w:r w:rsidR="00112C90" w:rsidRPr="00816DDD">
              <w:rPr>
                <w:sz w:val="20"/>
                <w:szCs w:val="20"/>
              </w:rPr>
              <w:t>8</w:t>
            </w:r>
            <w:r w:rsidRPr="00816DDD">
              <w:rPr>
                <w:sz w:val="20"/>
                <w:szCs w:val="20"/>
              </w:rPr>
              <w:t>6</w:t>
            </w:r>
          </w:p>
        </w:tc>
        <w:tc>
          <w:tcPr>
            <w:tcW w:w="3060" w:type="dxa"/>
          </w:tcPr>
          <w:p w14:paraId="1F12E7C3" w14:textId="12F1F0F6" w:rsidR="00CF3D99" w:rsidRPr="00816DDD" w:rsidRDefault="009B0581" w:rsidP="00931B04">
            <w:pPr>
              <w:rPr>
                <w:sz w:val="20"/>
                <w:szCs w:val="20"/>
              </w:rPr>
            </w:pPr>
            <w:r w:rsidRPr="00816DDD">
              <w:rPr>
                <w:sz w:val="20"/>
                <w:szCs w:val="20"/>
              </w:rPr>
              <w:t>40,000 x (786 – 785) = 40,000</w:t>
            </w:r>
          </w:p>
        </w:tc>
        <w:tc>
          <w:tcPr>
            <w:tcW w:w="1800" w:type="dxa"/>
          </w:tcPr>
          <w:p w14:paraId="3351EB66" w14:textId="3578DFE1" w:rsidR="00CF3D99" w:rsidRPr="00816DDD" w:rsidRDefault="009B0581" w:rsidP="00091730">
            <w:pPr>
              <w:jc w:val="center"/>
              <w:rPr>
                <w:sz w:val="20"/>
                <w:szCs w:val="20"/>
              </w:rPr>
            </w:pPr>
            <w:r w:rsidRPr="00816DDD">
              <w:rPr>
                <w:sz w:val="20"/>
                <w:szCs w:val="20"/>
              </w:rPr>
              <w:t>1,640,000</w:t>
            </w:r>
          </w:p>
        </w:tc>
      </w:tr>
    </w:tbl>
    <w:p w14:paraId="62CC8438" w14:textId="77777777" w:rsidR="002008C2" w:rsidRPr="00816DDD" w:rsidRDefault="002008C2" w:rsidP="002008C2">
      <w:pPr>
        <w:spacing w:after="0" w:line="240" w:lineRule="auto"/>
        <w:ind w:right="-126"/>
        <w:rPr>
          <w:szCs w:val="24"/>
        </w:rPr>
      </w:pPr>
    </w:p>
    <w:p w14:paraId="254C03A5" w14:textId="059989A8" w:rsidR="002008C2" w:rsidRPr="00816DDD" w:rsidRDefault="00157CCE" w:rsidP="002008C2">
      <w:pPr>
        <w:spacing w:after="0" w:line="240" w:lineRule="auto"/>
        <w:ind w:right="-126"/>
        <w:rPr>
          <w:szCs w:val="24"/>
        </w:rPr>
      </w:pPr>
      <w:r w:rsidRPr="00816DDD">
        <w:rPr>
          <w:szCs w:val="24"/>
        </w:rPr>
        <w:t xml:space="preserve">Once </w:t>
      </w:r>
      <w:r w:rsidR="002008C2" w:rsidRPr="00816DDD">
        <w:rPr>
          <w:szCs w:val="24"/>
        </w:rPr>
        <w:t xml:space="preserve">a futures contract expires, </w:t>
      </w:r>
      <w:r w:rsidR="0056522A" w:rsidRPr="00816DDD">
        <w:rPr>
          <w:szCs w:val="24"/>
        </w:rPr>
        <w:t>the buyer or seller</w:t>
      </w:r>
      <w:r w:rsidR="002008C2" w:rsidRPr="00816DDD">
        <w:rPr>
          <w:szCs w:val="24"/>
        </w:rPr>
        <w:t xml:space="preserve"> can either physically </w:t>
      </w:r>
      <w:r w:rsidR="0056522A" w:rsidRPr="00816DDD">
        <w:rPr>
          <w:szCs w:val="24"/>
        </w:rPr>
        <w:t>receive or deliver</w:t>
      </w:r>
      <w:r w:rsidR="00663BC2" w:rsidRPr="00816DDD">
        <w:rPr>
          <w:szCs w:val="24"/>
        </w:rPr>
        <w:t xml:space="preserve"> the amount of</w:t>
      </w:r>
      <w:r w:rsidR="002008C2" w:rsidRPr="00816DDD">
        <w:rPr>
          <w:szCs w:val="24"/>
        </w:rPr>
        <w:t xml:space="preserve"> the underlying asset or make a cash settlement.  </w:t>
      </w:r>
      <w:r w:rsidR="00663BC2" w:rsidRPr="00816DDD">
        <w:rPr>
          <w:szCs w:val="24"/>
        </w:rPr>
        <w:t xml:space="preserve">In practice, physical delivery rarely </w:t>
      </w:r>
      <w:r w:rsidR="00CA68BA" w:rsidRPr="00816DDD">
        <w:rPr>
          <w:szCs w:val="24"/>
        </w:rPr>
        <w:lastRenderedPageBreak/>
        <w:t>occurs</w:t>
      </w:r>
      <w:r w:rsidR="00705C8F" w:rsidRPr="00816DDD">
        <w:rPr>
          <w:szCs w:val="24"/>
        </w:rPr>
        <w:t xml:space="preserve"> except for some commodities</w:t>
      </w:r>
      <w:r w:rsidR="00CA68BA" w:rsidRPr="00816DDD">
        <w:rPr>
          <w:szCs w:val="24"/>
        </w:rPr>
        <w:t>, and many exchanges do not allow it</w:t>
      </w:r>
      <w:r w:rsidR="0051511B">
        <w:rPr>
          <w:szCs w:val="24"/>
        </w:rPr>
        <w:t>;</w:t>
      </w:r>
      <w:r w:rsidR="002237CF" w:rsidRPr="00816DDD">
        <w:rPr>
          <w:szCs w:val="24"/>
        </w:rPr>
        <w:t xml:space="preserve"> </w:t>
      </w:r>
      <w:r w:rsidR="00663BC2" w:rsidRPr="00816DDD">
        <w:rPr>
          <w:szCs w:val="24"/>
        </w:rPr>
        <w:t>instead</w:t>
      </w:r>
      <w:r w:rsidR="0051511B">
        <w:rPr>
          <w:szCs w:val="24"/>
        </w:rPr>
        <w:t>,</w:t>
      </w:r>
      <w:r w:rsidR="00663BC2" w:rsidRPr="00816DDD">
        <w:rPr>
          <w:szCs w:val="24"/>
        </w:rPr>
        <w:t xml:space="preserve"> the counterparties </w:t>
      </w:r>
      <w:r w:rsidR="000901DE" w:rsidRPr="00816DDD">
        <w:rPr>
          <w:szCs w:val="24"/>
        </w:rPr>
        <w:t>close out their positions by making an offsetting transaction just before the final trading day</w:t>
      </w:r>
      <w:r w:rsidR="00663BC2" w:rsidRPr="00816DDD">
        <w:rPr>
          <w:szCs w:val="24"/>
        </w:rPr>
        <w:t xml:space="preserve">.  </w:t>
      </w:r>
      <w:r w:rsidR="00CA68BA" w:rsidRPr="00816DDD">
        <w:rPr>
          <w:szCs w:val="24"/>
        </w:rPr>
        <w:t xml:space="preserve">The remaining </w:t>
      </w:r>
      <w:r w:rsidR="00C658C3" w:rsidRPr="00816DDD">
        <w:rPr>
          <w:szCs w:val="24"/>
        </w:rPr>
        <w:t xml:space="preserve">balance of the margin account is refunded or applied to another trade.  </w:t>
      </w:r>
      <w:r w:rsidR="00663BC2" w:rsidRPr="00816DDD">
        <w:rPr>
          <w:szCs w:val="24"/>
        </w:rPr>
        <w:t>For some futures contracts</w:t>
      </w:r>
      <w:r w:rsidR="008711C8" w:rsidRPr="00816DDD">
        <w:rPr>
          <w:szCs w:val="24"/>
        </w:rPr>
        <w:t xml:space="preserve"> like stock index future</w:t>
      </w:r>
      <w:r w:rsidRPr="00816DDD">
        <w:rPr>
          <w:szCs w:val="24"/>
        </w:rPr>
        <w:t>s</w:t>
      </w:r>
      <w:r w:rsidR="001F3CAE" w:rsidRPr="00816DDD">
        <w:rPr>
          <w:szCs w:val="24"/>
        </w:rPr>
        <w:t xml:space="preserve">, </w:t>
      </w:r>
      <w:r w:rsidR="008711C8" w:rsidRPr="00816DDD">
        <w:rPr>
          <w:szCs w:val="24"/>
        </w:rPr>
        <w:t>the underlying asset</w:t>
      </w:r>
      <w:r w:rsidR="00CA68BA" w:rsidRPr="00816DDD">
        <w:rPr>
          <w:szCs w:val="24"/>
        </w:rPr>
        <w:t xml:space="preserve"> cannot </w:t>
      </w:r>
      <w:r w:rsidR="008711C8" w:rsidRPr="00816DDD">
        <w:rPr>
          <w:szCs w:val="24"/>
        </w:rPr>
        <w:t xml:space="preserve">be </w:t>
      </w:r>
      <w:r w:rsidR="0056522A" w:rsidRPr="00816DDD">
        <w:rPr>
          <w:szCs w:val="24"/>
        </w:rPr>
        <w:t xml:space="preserve">physically </w:t>
      </w:r>
      <w:r w:rsidR="008711C8" w:rsidRPr="00816DDD">
        <w:rPr>
          <w:szCs w:val="24"/>
        </w:rPr>
        <w:t>deliver</w:t>
      </w:r>
      <w:r w:rsidR="00CA68BA" w:rsidRPr="00816DDD">
        <w:rPr>
          <w:szCs w:val="24"/>
        </w:rPr>
        <w:t>ed</w:t>
      </w:r>
      <w:r w:rsidR="0051511B">
        <w:rPr>
          <w:szCs w:val="24"/>
        </w:rPr>
        <w:t>,</w:t>
      </w:r>
      <w:r w:rsidR="00660229" w:rsidRPr="00816DDD">
        <w:rPr>
          <w:szCs w:val="24"/>
        </w:rPr>
        <w:t xml:space="preserve"> so only cash settlement i</w:t>
      </w:r>
      <w:r w:rsidR="009E18D2" w:rsidRPr="00816DDD">
        <w:rPr>
          <w:szCs w:val="24"/>
        </w:rPr>
        <w:t>s</w:t>
      </w:r>
      <w:r w:rsidR="00660229" w:rsidRPr="00816DDD">
        <w:rPr>
          <w:szCs w:val="24"/>
        </w:rPr>
        <w:t xml:space="preserve"> possible.</w:t>
      </w:r>
      <w:r w:rsidR="00CA68BA" w:rsidRPr="00816DDD">
        <w:rPr>
          <w:szCs w:val="24"/>
        </w:rPr>
        <w:t xml:space="preserve">  </w:t>
      </w:r>
      <w:r w:rsidR="0068770A" w:rsidRPr="00816DDD">
        <w:rPr>
          <w:szCs w:val="24"/>
        </w:rPr>
        <w:t xml:space="preserve">Traders can also </w:t>
      </w:r>
      <w:r w:rsidR="005113ED" w:rsidRPr="00816DDD">
        <w:rPr>
          <w:szCs w:val="24"/>
        </w:rPr>
        <w:t>close</w:t>
      </w:r>
      <w:r w:rsidR="0085267D" w:rsidRPr="00816DDD">
        <w:rPr>
          <w:szCs w:val="24"/>
        </w:rPr>
        <w:t xml:space="preserve"> out</w:t>
      </w:r>
      <w:r w:rsidR="0068770A" w:rsidRPr="00816DDD">
        <w:rPr>
          <w:szCs w:val="24"/>
        </w:rPr>
        <w:t xml:space="preserve"> a futures position </w:t>
      </w:r>
      <w:r w:rsidR="00257D6E">
        <w:rPr>
          <w:szCs w:val="24"/>
        </w:rPr>
        <w:t xml:space="preserve">at </w:t>
      </w:r>
      <w:r w:rsidR="00257D6E" w:rsidRPr="00816DDD">
        <w:rPr>
          <w:szCs w:val="24"/>
        </w:rPr>
        <w:t>any time</w:t>
      </w:r>
      <w:r w:rsidR="0068770A" w:rsidRPr="00816DDD">
        <w:rPr>
          <w:szCs w:val="24"/>
        </w:rPr>
        <w:t xml:space="preserve"> </w:t>
      </w:r>
      <w:r w:rsidR="0051511B">
        <w:rPr>
          <w:szCs w:val="24"/>
        </w:rPr>
        <w:t>before</w:t>
      </w:r>
      <w:r w:rsidR="0068770A" w:rsidRPr="00816DDD">
        <w:rPr>
          <w:szCs w:val="24"/>
        </w:rPr>
        <w:t xml:space="preserve"> final settlement by making an offsetting transaction. </w:t>
      </w:r>
    </w:p>
    <w:p w14:paraId="232A5C82" w14:textId="77777777" w:rsidR="000F2B23" w:rsidRPr="00816DDD" w:rsidRDefault="000F2B23" w:rsidP="002008C2">
      <w:pPr>
        <w:spacing w:after="0" w:line="240" w:lineRule="auto"/>
        <w:ind w:right="-126"/>
        <w:rPr>
          <w:szCs w:val="24"/>
        </w:rPr>
      </w:pPr>
    </w:p>
    <w:p w14:paraId="46F9AD9A" w14:textId="1120138F" w:rsidR="000F2B23" w:rsidRPr="00816DDD" w:rsidRDefault="007B60C8" w:rsidP="00765CD2">
      <w:pPr>
        <w:spacing w:after="0" w:line="240" w:lineRule="auto"/>
        <w:ind w:right="-126"/>
        <w:rPr>
          <w:szCs w:val="24"/>
        </w:rPr>
      </w:pPr>
      <w:r w:rsidRPr="00816DDD">
        <w:rPr>
          <w:szCs w:val="24"/>
        </w:rPr>
        <w:t>F</w:t>
      </w:r>
      <w:r w:rsidR="000F2B23" w:rsidRPr="00816DDD">
        <w:rPr>
          <w:szCs w:val="24"/>
        </w:rPr>
        <w:t xml:space="preserve">uture exchanges </w:t>
      </w:r>
      <w:r w:rsidR="000812FE" w:rsidRPr="00816DDD">
        <w:rPr>
          <w:szCs w:val="24"/>
        </w:rPr>
        <w:t xml:space="preserve">will </w:t>
      </w:r>
      <w:r w:rsidR="000F2B23" w:rsidRPr="00816DDD">
        <w:rPr>
          <w:szCs w:val="24"/>
        </w:rPr>
        <w:t>write contract</w:t>
      </w:r>
      <w:r w:rsidRPr="00816DDD">
        <w:rPr>
          <w:szCs w:val="24"/>
        </w:rPr>
        <w:t xml:space="preserve">s for </w:t>
      </w:r>
      <w:r w:rsidR="00B92D4D" w:rsidRPr="00816DDD">
        <w:rPr>
          <w:szCs w:val="24"/>
        </w:rPr>
        <w:t xml:space="preserve">nearly </w:t>
      </w:r>
      <w:r w:rsidR="00E51FFE" w:rsidRPr="00816DDD">
        <w:rPr>
          <w:szCs w:val="24"/>
        </w:rPr>
        <w:t xml:space="preserve">any </w:t>
      </w:r>
      <w:r w:rsidRPr="00816DDD">
        <w:rPr>
          <w:szCs w:val="24"/>
        </w:rPr>
        <w:t xml:space="preserve">underlying asset </w:t>
      </w:r>
      <w:r w:rsidR="00E51FFE" w:rsidRPr="00816DDD">
        <w:rPr>
          <w:szCs w:val="24"/>
        </w:rPr>
        <w:t>if</w:t>
      </w:r>
      <w:r w:rsidRPr="00816DDD">
        <w:rPr>
          <w:szCs w:val="24"/>
        </w:rPr>
        <w:t xml:space="preserve"> </w:t>
      </w:r>
      <w:r w:rsidR="00B92D4D" w:rsidRPr="00816DDD">
        <w:rPr>
          <w:szCs w:val="24"/>
        </w:rPr>
        <w:t xml:space="preserve">there is sufficient </w:t>
      </w:r>
      <w:r w:rsidR="0053556B" w:rsidRPr="00816DDD">
        <w:rPr>
          <w:szCs w:val="24"/>
        </w:rPr>
        <w:t>interest from hedgers and speculators due to</w:t>
      </w:r>
      <w:r w:rsidR="00B92D4D" w:rsidRPr="00816DDD">
        <w:rPr>
          <w:szCs w:val="24"/>
        </w:rPr>
        <w:t xml:space="preserve"> </w:t>
      </w:r>
      <w:r w:rsidR="008530F2" w:rsidRPr="00816DDD">
        <w:rPr>
          <w:szCs w:val="24"/>
        </w:rPr>
        <w:t xml:space="preserve">price </w:t>
      </w:r>
      <w:r w:rsidR="00E50BD6" w:rsidRPr="00816DDD">
        <w:rPr>
          <w:szCs w:val="24"/>
        </w:rPr>
        <w:t>volatility</w:t>
      </w:r>
      <w:r w:rsidRPr="00816DDD">
        <w:rPr>
          <w:szCs w:val="24"/>
        </w:rPr>
        <w:t>.</w:t>
      </w:r>
      <w:r w:rsidR="00B92D4D" w:rsidRPr="00816DDD">
        <w:rPr>
          <w:szCs w:val="24"/>
        </w:rPr>
        <w:t xml:space="preserve">  New contracts are constantly being added while others are dropped.  </w:t>
      </w:r>
      <w:r w:rsidR="008530F2" w:rsidRPr="00816DDD">
        <w:rPr>
          <w:szCs w:val="24"/>
        </w:rPr>
        <w:t xml:space="preserve">Futures contracts are traditionally divided into commodity futures and financial futures.  Commodity futures </w:t>
      </w:r>
      <w:r w:rsidR="00164F88" w:rsidRPr="00816DDD">
        <w:rPr>
          <w:szCs w:val="24"/>
        </w:rPr>
        <w:t xml:space="preserve">have been traded since the mid-1800s and </w:t>
      </w:r>
      <w:r w:rsidR="008530F2" w:rsidRPr="00816DDD">
        <w:rPr>
          <w:szCs w:val="24"/>
        </w:rPr>
        <w:t>are available on a variety of agricultural, metal, and energy products</w:t>
      </w:r>
      <w:r w:rsidR="00164F88" w:rsidRPr="00816DDD">
        <w:rPr>
          <w:szCs w:val="24"/>
        </w:rPr>
        <w:t>.  F</w:t>
      </w:r>
      <w:r w:rsidR="008530F2" w:rsidRPr="00816DDD">
        <w:rPr>
          <w:szCs w:val="24"/>
        </w:rPr>
        <w:t xml:space="preserve">inancial futures </w:t>
      </w:r>
      <w:r w:rsidR="00164F88" w:rsidRPr="00816DDD">
        <w:rPr>
          <w:szCs w:val="24"/>
        </w:rPr>
        <w:t>first traded in the early 1970</w:t>
      </w:r>
      <w:r w:rsidR="00002234" w:rsidRPr="00816DDD">
        <w:rPr>
          <w:szCs w:val="24"/>
        </w:rPr>
        <w:t xml:space="preserve">s </w:t>
      </w:r>
      <w:r w:rsidR="000F2A88" w:rsidRPr="00816DDD">
        <w:rPr>
          <w:szCs w:val="24"/>
        </w:rPr>
        <w:t xml:space="preserve">with </w:t>
      </w:r>
      <w:r w:rsidR="00002234" w:rsidRPr="00816DDD">
        <w:rPr>
          <w:szCs w:val="24"/>
        </w:rPr>
        <w:t>currency</w:t>
      </w:r>
      <w:r w:rsidR="0051511B">
        <w:rPr>
          <w:szCs w:val="24"/>
        </w:rPr>
        <w:t>,</w:t>
      </w:r>
      <w:r w:rsidR="00765CD2" w:rsidRPr="00816DDD">
        <w:rPr>
          <w:szCs w:val="24"/>
        </w:rPr>
        <w:t xml:space="preserve"> </w:t>
      </w:r>
      <w:r w:rsidR="00FF17FF" w:rsidRPr="00816DDD">
        <w:rPr>
          <w:szCs w:val="24"/>
        </w:rPr>
        <w:t xml:space="preserve">then </w:t>
      </w:r>
      <w:r w:rsidR="00765CD2" w:rsidRPr="00816DDD">
        <w:rPr>
          <w:szCs w:val="24"/>
        </w:rPr>
        <w:t>interest rate and stock-based contracts</w:t>
      </w:r>
      <w:r w:rsidR="00545424" w:rsidRPr="00816DDD">
        <w:rPr>
          <w:szCs w:val="24"/>
        </w:rPr>
        <w:t>.  T</w:t>
      </w:r>
      <w:r w:rsidR="00765CD2" w:rsidRPr="00816DDD">
        <w:rPr>
          <w:szCs w:val="24"/>
        </w:rPr>
        <w:t xml:space="preserve">he volume of the financial futures market now greatly exceeds </w:t>
      </w:r>
      <w:r w:rsidR="00FF17FF" w:rsidRPr="00816DDD">
        <w:rPr>
          <w:szCs w:val="24"/>
        </w:rPr>
        <w:t xml:space="preserve">the </w:t>
      </w:r>
      <w:r w:rsidR="00765CD2" w:rsidRPr="00816DDD">
        <w:rPr>
          <w:szCs w:val="24"/>
        </w:rPr>
        <w:t xml:space="preserve">commodity </w:t>
      </w:r>
      <w:r w:rsidR="00FF17FF" w:rsidRPr="00816DDD">
        <w:rPr>
          <w:szCs w:val="24"/>
        </w:rPr>
        <w:t>futures market</w:t>
      </w:r>
      <w:r w:rsidR="00765CD2" w:rsidRPr="00816DDD">
        <w:rPr>
          <w:szCs w:val="24"/>
        </w:rPr>
        <w:t>.</w:t>
      </w:r>
    </w:p>
    <w:p w14:paraId="49DEDA4E" w14:textId="77777777" w:rsidR="00164F88" w:rsidRPr="00816DDD" w:rsidRDefault="00164F88" w:rsidP="002008C2">
      <w:pPr>
        <w:spacing w:after="0" w:line="240" w:lineRule="auto"/>
        <w:ind w:right="-126"/>
        <w:rPr>
          <w:szCs w:val="24"/>
        </w:rPr>
      </w:pPr>
    </w:p>
    <w:p w14:paraId="28A127B7" w14:textId="63419A9B" w:rsidR="00E51FFE" w:rsidRPr="00816DDD" w:rsidRDefault="00E51FFE" w:rsidP="00E51FFE">
      <w:pPr>
        <w:spacing w:after="0" w:line="240" w:lineRule="auto"/>
        <w:ind w:right="-126"/>
        <w:jc w:val="center"/>
        <w:rPr>
          <w:b/>
          <w:bCs/>
          <w:sz w:val="20"/>
          <w:szCs w:val="20"/>
        </w:rPr>
      </w:pPr>
      <w:r w:rsidRPr="00816DDD">
        <w:rPr>
          <w:b/>
          <w:bCs/>
          <w:sz w:val="20"/>
          <w:szCs w:val="20"/>
        </w:rPr>
        <w:t>Exhibit 1</w:t>
      </w:r>
      <w:r w:rsidR="00024B00" w:rsidRPr="00816DDD">
        <w:rPr>
          <w:b/>
          <w:bCs/>
          <w:sz w:val="20"/>
          <w:szCs w:val="20"/>
        </w:rPr>
        <w:t>4</w:t>
      </w:r>
      <w:r w:rsidRPr="00816DDD">
        <w:rPr>
          <w:b/>
          <w:bCs/>
          <w:sz w:val="20"/>
          <w:szCs w:val="20"/>
        </w:rPr>
        <w:t>:  Types of Future Contracts</w:t>
      </w:r>
    </w:p>
    <w:p w14:paraId="6B6CFF92" w14:textId="77777777" w:rsidR="00E51FFE" w:rsidRPr="00816DDD" w:rsidRDefault="00E51FFE" w:rsidP="002008C2">
      <w:pPr>
        <w:spacing w:after="0" w:line="240" w:lineRule="auto"/>
        <w:ind w:right="-126"/>
        <w:rPr>
          <w:sz w:val="20"/>
          <w:szCs w:val="20"/>
        </w:rPr>
      </w:pPr>
    </w:p>
    <w:tbl>
      <w:tblPr>
        <w:tblStyle w:val="TableGrid"/>
        <w:tblW w:w="0" w:type="auto"/>
        <w:tblInd w:w="985" w:type="dxa"/>
        <w:tblLook w:val="04A0" w:firstRow="1" w:lastRow="0" w:firstColumn="1" w:lastColumn="0" w:noHBand="0" w:noVBand="1"/>
      </w:tblPr>
      <w:tblGrid>
        <w:gridCol w:w="2070"/>
        <w:gridCol w:w="6305"/>
      </w:tblGrid>
      <w:tr w:rsidR="00816DDD" w:rsidRPr="00816DDD" w14:paraId="5AB281B2" w14:textId="77777777" w:rsidTr="0085267D">
        <w:tc>
          <w:tcPr>
            <w:tcW w:w="2070" w:type="dxa"/>
          </w:tcPr>
          <w:p w14:paraId="0917CA8B" w14:textId="19F3B00A" w:rsidR="00E51FFE" w:rsidRPr="00816DDD" w:rsidRDefault="00E51FFE" w:rsidP="00E51FFE">
            <w:pPr>
              <w:ind w:right="-126"/>
              <w:rPr>
                <w:sz w:val="20"/>
                <w:szCs w:val="20"/>
              </w:rPr>
            </w:pPr>
            <w:r w:rsidRPr="00816DDD">
              <w:rPr>
                <w:sz w:val="20"/>
                <w:szCs w:val="20"/>
              </w:rPr>
              <w:t>Agricultural futures</w:t>
            </w:r>
          </w:p>
        </w:tc>
        <w:tc>
          <w:tcPr>
            <w:tcW w:w="6305" w:type="dxa"/>
          </w:tcPr>
          <w:p w14:paraId="70C1ED1E" w14:textId="46668348" w:rsidR="00E51FFE" w:rsidRPr="00816DDD" w:rsidRDefault="00E51FFE" w:rsidP="002008C2">
            <w:pPr>
              <w:ind w:right="-126"/>
              <w:rPr>
                <w:sz w:val="20"/>
                <w:szCs w:val="20"/>
              </w:rPr>
            </w:pPr>
            <w:r w:rsidRPr="00816DDD">
              <w:rPr>
                <w:sz w:val="20"/>
                <w:szCs w:val="20"/>
              </w:rPr>
              <w:t>Wheat,</w:t>
            </w:r>
            <w:r w:rsidR="00953821" w:rsidRPr="00816DDD">
              <w:rPr>
                <w:sz w:val="20"/>
                <w:szCs w:val="20"/>
              </w:rPr>
              <w:t xml:space="preserve"> oats,</w:t>
            </w:r>
            <w:r w:rsidRPr="00816DDD">
              <w:rPr>
                <w:sz w:val="20"/>
                <w:szCs w:val="20"/>
              </w:rPr>
              <w:t xml:space="preserve"> </w:t>
            </w:r>
            <w:r w:rsidR="00953821" w:rsidRPr="00816DDD">
              <w:rPr>
                <w:sz w:val="20"/>
                <w:szCs w:val="20"/>
              </w:rPr>
              <w:t xml:space="preserve">soybeans, </w:t>
            </w:r>
            <w:r w:rsidRPr="00816DDD">
              <w:rPr>
                <w:sz w:val="20"/>
                <w:szCs w:val="20"/>
              </w:rPr>
              <w:t xml:space="preserve">corn, </w:t>
            </w:r>
            <w:r w:rsidR="00953821" w:rsidRPr="00816DDD">
              <w:rPr>
                <w:sz w:val="20"/>
                <w:szCs w:val="20"/>
              </w:rPr>
              <w:t xml:space="preserve">rice, </w:t>
            </w:r>
            <w:r w:rsidRPr="00816DDD">
              <w:rPr>
                <w:sz w:val="20"/>
                <w:szCs w:val="20"/>
              </w:rPr>
              <w:t xml:space="preserve">canola, </w:t>
            </w:r>
            <w:r w:rsidR="00D84CA9" w:rsidRPr="00816DDD">
              <w:rPr>
                <w:sz w:val="20"/>
                <w:szCs w:val="20"/>
              </w:rPr>
              <w:t xml:space="preserve">frozen </w:t>
            </w:r>
            <w:r w:rsidR="00B92D4D" w:rsidRPr="00816DDD">
              <w:rPr>
                <w:sz w:val="20"/>
                <w:szCs w:val="20"/>
              </w:rPr>
              <w:t xml:space="preserve">orange juice, </w:t>
            </w:r>
            <w:r w:rsidR="00D84CA9" w:rsidRPr="00816DDD">
              <w:rPr>
                <w:sz w:val="20"/>
                <w:szCs w:val="20"/>
              </w:rPr>
              <w:t xml:space="preserve">milk, </w:t>
            </w:r>
            <w:r w:rsidR="00953821" w:rsidRPr="00816DDD">
              <w:rPr>
                <w:sz w:val="20"/>
                <w:szCs w:val="20"/>
              </w:rPr>
              <w:t xml:space="preserve">lean hogs, </w:t>
            </w:r>
            <w:r w:rsidR="00D84CA9" w:rsidRPr="00816DDD">
              <w:rPr>
                <w:sz w:val="20"/>
                <w:szCs w:val="20"/>
              </w:rPr>
              <w:t xml:space="preserve">live cattle, feeder cattle, </w:t>
            </w:r>
            <w:r w:rsidR="00B92D4D" w:rsidRPr="00816DDD">
              <w:rPr>
                <w:sz w:val="20"/>
                <w:szCs w:val="20"/>
              </w:rPr>
              <w:t xml:space="preserve">coffee, cocoa, sugar, ethanol, </w:t>
            </w:r>
            <w:r w:rsidR="00D84CA9" w:rsidRPr="00816DDD">
              <w:rPr>
                <w:sz w:val="20"/>
                <w:szCs w:val="20"/>
              </w:rPr>
              <w:t xml:space="preserve">palm oil, </w:t>
            </w:r>
            <w:r w:rsidR="00B92D4D" w:rsidRPr="00816DDD">
              <w:rPr>
                <w:sz w:val="20"/>
                <w:szCs w:val="20"/>
              </w:rPr>
              <w:t>fertilizer</w:t>
            </w:r>
            <w:r w:rsidR="00D84CA9" w:rsidRPr="00816DDD">
              <w:rPr>
                <w:sz w:val="20"/>
                <w:szCs w:val="20"/>
              </w:rPr>
              <w:t>, cotton, wool, rubber</w:t>
            </w:r>
          </w:p>
        </w:tc>
      </w:tr>
      <w:tr w:rsidR="00816DDD" w:rsidRPr="00816DDD" w14:paraId="5DCAD77B" w14:textId="77777777" w:rsidTr="0085267D">
        <w:tc>
          <w:tcPr>
            <w:tcW w:w="2070" w:type="dxa"/>
          </w:tcPr>
          <w:p w14:paraId="0D2675CA" w14:textId="57B2EAF8" w:rsidR="00E51FFE" w:rsidRPr="00816DDD" w:rsidRDefault="00E51FFE" w:rsidP="002008C2">
            <w:pPr>
              <w:ind w:right="-126"/>
              <w:rPr>
                <w:sz w:val="20"/>
                <w:szCs w:val="20"/>
              </w:rPr>
            </w:pPr>
            <w:r w:rsidRPr="00816DDD">
              <w:rPr>
                <w:sz w:val="20"/>
                <w:szCs w:val="20"/>
              </w:rPr>
              <w:t>Energy futures</w:t>
            </w:r>
          </w:p>
        </w:tc>
        <w:tc>
          <w:tcPr>
            <w:tcW w:w="6305" w:type="dxa"/>
          </w:tcPr>
          <w:p w14:paraId="17817DFB" w14:textId="34104055" w:rsidR="00E51FFE" w:rsidRPr="00816DDD" w:rsidRDefault="00E51FFE" w:rsidP="002008C2">
            <w:pPr>
              <w:ind w:right="-126"/>
              <w:rPr>
                <w:sz w:val="20"/>
                <w:szCs w:val="20"/>
              </w:rPr>
            </w:pPr>
            <w:r w:rsidRPr="00816DDD">
              <w:rPr>
                <w:sz w:val="20"/>
                <w:szCs w:val="20"/>
              </w:rPr>
              <w:t xml:space="preserve">Crude oil, </w:t>
            </w:r>
            <w:r w:rsidR="00B92D4D" w:rsidRPr="00816DDD">
              <w:rPr>
                <w:sz w:val="20"/>
                <w:szCs w:val="20"/>
              </w:rPr>
              <w:t xml:space="preserve">heating oil, </w:t>
            </w:r>
            <w:r w:rsidRPr="00816DDD">
              <w:rPr>
                <w:sz w:val="20"/>
                <w:szCs w:val="20"/>
              </w:rPr>
              <w:t xml:space="preserve">natural gas, </w:t>
            </w:r>
            <w:r w:rsidR="00B92D4D" w:rsidRPr="00816DDD">
              <w:rPr>
                <w:sz w:val="20"/>
                <w:szCs w:val="20"/>
              </w:rPr>
              <w:t xml:space="preserve">propane, </w:t>
            </w:r>
            <w:r w:rsidRPr="00816DDD">
              <w:rPr>
                <w:sz w:val="20"/>
                <w:szCs w:val="20"/>
              </w:rPr>
              <w:t>gasoline, electricity</w:t>
            </w:r>
          </w:p>
        </w:tc>
      </w:tr>
      <w:tr w:rsidR="00816DDD" w:rsidRPr="00816DDD" w14:paraId="1F1E949B" w14:textId="77777777" w:rsidTr="0085267D">
        <w:tc>
          <w:tcPr>
            <w:tcW w:w="2070" w:type="dxa"/>
          </w:tcPr>
          <w:p w14:paraId="49B96698" w14:textId="6653667A" w:rsidR="00E51FFE" w:rsidRPr="00816DDD" w:rsidRDefault="00E51FFE" w:rsidP="002008C2">
            <w:pPr>
              <w:ind w:right="-126"/>
              <w:rPr>
                <w:sz w:val="20"/>
                <w:szCs w:val="20"/>
              </w:rPr>
            </w:pPr>
            <w:r w:rsidRPr="00816DDD">
              <w:rPr>
                <w:sz w:val="20"/>
                <w:szCs w:val="20"/>
              </w:rPr>
              <w:t>Metal futures</w:t>
            </w:r>
          </w:p>
        </w:tc>
        <w:tc>
          <w:tcPr>
            <w:tcW w:w="6305" w:type="dxa"/>
          </w:tcPr>
          <w:p w14:paraId="68A1B80C" w14:textId="15264902" w:rsidR="00E51FFE" w:rsidRPr="00816DDD" w:rsidRDefault="00E51FFE" w:rsidP="002008C2">
            <w:pPr>
              <w:ind w:right="-126"/>
              <w:rPr>
                <w:sz w:val="20"/>
                <w:szCs w:val="20"/>
              </w:rPr>
            </w:pPr>
            <w:r w:rsidRPr="00816DDD">
              <w:rPr>
                <w:sz w:val="20"/>
                <w:szCs w:val="20"/>
              </w:rPr>
              <w:t xml:space="preserve">Gold, steel, copper, </w:t>
            </w:r>
            <w:r w:rsidR="00D84CA9" w:rsidRPr="00816DDD">
              <w:rPr>
                <w:sz w:val="20"/>
                <w:szCs w:val="20"/>
              </w:rPr>
              <w:t xml:space="preserve">lead, zinc, tin, nickel, cobalt, molybdenum, </w:t>
            </w:r>
            <w:r w:rsidR="00B92D4D" w:rsidRPr="00816DDD">
              <w:rPr>
                <w:sz w:val="20"/>
                <w:szCs w:val="20"/>
              </w:rPr>
              <w:t xml:space="preserve">aluminum, palladium, </w:t>
            </w:r>
            <w:r w:rsidR="00953821" w:rsidRPr="00816DDD">
              <w:rPr>
                <w:sz w:val="20"/>
                <w:szCs w:val="20"/>
              </w:rPr>
              <w:t xml:space="preserve">platinum, </w:t>
            </w:r>
            <w:r w:rsidRPr="00816DDD">
              <w:rPr>
                <w:sz w:val="20"/>
                <w:szCs w:val="20"/>
              </w:rPr>
              <w:t>lumber</w:t>
            </w:r>
            <w:r w:rsidR="00D84CA9" w:rsidRPr="00816DDD">
              <w:rPr>
                <w:sz w:val="20"/>
                <w:szCs w:val="20"/>
              </w:rPr>
              <w:t>, wood pulp</w:t>
            </w:r>
          </w:p>
        </w:tc>
      </w:tr>
      <w:tr w:rsidR="00816DDD" w:rsidRPr="00816DDD" w14:paraId="0688373A" w14:textId="77777777" w:rsidTr="0085267D">
        <w:tc>
          <w:tcPr>
            <w:tcW w:w="2070" w:type="dxa"/>
          </w:tcPr>
          <w:p w14:paraId="7337B587" w14:textId="7AD008EF" w:rsidR="00E51FFE" w:rsidRPr="00816DDD" w:rsidRDefault="00E51FFE" w:rsidP="002008C2">
            <w:pPr>
              <w:ind w:right="-126"/>
              <w:rPr>
                <w:sz w:val="20"/>
                <w:szCs w:val="20"/>
              </w:rPr>
            </w:pPr>
            <w:r w:rsidRPr="00816DDD">
              <w:rPr>
                <w:sz w:val="20"/>
                <w:szCs w:val="20"/>
              </w:rPr>
              <w:t>Financial futures</w:t>
            </w:r>
          </w:p>
        </w:tc>
        <w:tc>
          <w:tcPr>
            <w:tcW w:w="6305" w:type="dxa"/>
          </w:tcPr>
          <w:p w14:paraId="3B3BF73A" w14:textId="47A2445B" w:rsidR="00E51FFE" w:rsidRPr="00816DDD" w:rsidRDefault="00480F0E" w:rsidP="002008C2">
            <w:pPr>
              <w:ind w:right="-126"/>
              <w:rPr>
                <w:sz w:val="20"/>
                <w:szCs w:val="20"/>
              </w:rPr>
            </w:pPr>
            <w:r w:rsidRPr="00816DDD">
              <w:rPr>
                <w:sz w:val="20"/>
                <w:szCs w:val="20"/>
              </w:rPr>
              <w:t>Individual c</w:t>
            </w:r>
            <w:r w:rsidR="00E51FFE" w:rsidRPr="00816DDD">
              <w:rPr>
                <w:sz w:val="20"/>
                <w:szCs w:val="20"/>
              </w:rPr>
              <w:t>urrenc</w:t>
            </w:r>
            <w:r w:rsidRPr="00816DDD">
              <w:rPr>
                <w:sz w:val="20"/>
                <w:szCs w:val="20"/>
              </w:rPr>
              <w:t>ies</w:t>
            </w:r>
            <w:r w:rsidR="00E51FFE" w:rsidRPr="00816DDD">
              <w:rPr>
                <w:sz w:val="20"/>
                <w:szCs w:val="20"/>
              </w:rPr>
              <w:t xml:space="preserve">, </w:t>
            </w:r>
            <w:r w:rsidR="00E50BD6" w:rsidRPr="00816DDD">
              <w:rPr>
                <w:sz w:val="20"/>
                <w:szCs w:val="20"/>
              </w:rPr>
              <w:t xml:space="preserve">currency indexes, </w:t>
            </w:r>
            <w:r w:rsidRPr="00816DDD">
              <w:rPr>
                <w:sz w:val="20"/>
                <w:szCs w:val="20"/>
              </w:rPr>
              <w:t xml:space="preserve">individual </w:t>
            </w:r>
            <w:r w:rsidR="00E51FFE" w:rsidRPr="00816DDD">
              <w:rPr>
                <w:sz w:val="20"/>
                <w:szCs w:val="20"/>
              </w:rPr>
              <w:t xml:space="preserve">stocks, </w:t>
            </w:r>
            <w:r w:rsidR="00953821" w:rsidRPr="00816DDD">
              <w:rPr>
                <w:sz w:val="20"/>
                <w:szCs w:val="20"/>
              </w:rPr>
              <w:t xml:space="preserve">stock market </w:t>
            </w:r>
            <w:r w:rsidR="00E51FFE" w:rsidRPr="00816DDD">
              <w:rPr>
                <w:sz w:val="20"/>
                <w:szCs w:val="20"/>
              </w:rPr>
              <w:t>indexes</w:t>
            </w:r>
            <w:r w:rsidR="00953821" w:rsidRPr="00816DDD">
              <w:rPr>
                <w:sz w:val="20"/>
                <w:szCs w:val="20"/>
              </w:rPr>
              <w:t xml:space="preserve">, </w:t>
            </w:r>
            <w:r w:rsidR="00164F88" w:rsidRPr="00816DDD">
              <w:rPr>
                <w:sz w:val="20"/>
                <w:szCs w:val="20"/>
              </w:rPr>
              <w:t>short-term and long</w:t>
            </w:r>
            <w:r w:rsidR="00E75F67" w:rsidRPr="00816DDD">
              <w:rPr>
                <w:sz w:val="20"/>
                <w:szCs w:val="20"/>
              </w:rPr>
              <w:t>-term</w:t>
            </w:r>
            <w:r w:rsidR="00164F88" w:rsidRPr="00816DDD">
              <w:rPr>
                <w:sz w:val="20"/>
                <w:szCs w:val="20"/>
              </w:rPr>
              <w:t xml:space="preserve"> </w:t>
            </w:r>
            <w:r w:rsidR="00953821" w:rsidRPr="00816DDD">
              <w:rPr>
                <w:sz w:val="20"/>
                <w:szCs w:val="20"/>
              </w:rPr>
              <w:t>interest rates</w:t>
            </w:r>
          </w:p>
        </w:tc>
      </w:tr>
    </w:tbl>
    <w:p w14:paraId="1641D534" w14:textId="77777777" w:rsidR="005113ED" w:rsidRPr="00816DDD" w:rsidRDefault="005113ED" w:rsidP="009849C7">
      <w:pPr>
        <w:spacing w:after="0" w:line="240" w:lineRule="auto"/>
        <w:rPr>
          <w:szCs w:val="24"/>
        </w:rPr>
      </w:pPr>
    </w:p>
    <w:p w14:paraId="74220670" w14:textId="4DDF0E53" w:rsidR="00341820" w:rsidRPr="00816DDD" w:rsidRDefault="00194C68" w:rsidP="009849C7">
      <w:pPr>
        <w:spacing w:after="0" w:line="240" w:lineRule="auto"/>
        <w:rPr>
          <w:szCs w:val="24"/>
          <w:shd w:val="clear" w:color="auto" w:fill="FFFFFF"/>
        </w:rPr>
      </w:pPr>
      <w:r w:rsidRPr="00816DDD">
        <w:rPr>
          <w:szCs w:val="24"/>
        </w:rPr>
        <w:t>There are over 90 future exchanges worldwide</w:t>
      </w:r>
      <w:r w:rsidR="00CE54AA" w:rsidRPr="00816DDD">
        <w:rPr>
          <w:szCs w:val="24"/>
        </w:rPr>
        <w:t xml:space="preserve"> offering competing products</w:t>
      </w:r>
      <w:r w:rsidRPr="00816DDD">
        <w:rPr>
          <w:szCs w:val="24"/>
        </w:rPr>
        <w:t>.  The</w:t>
      </w:r>
      <w:r w:rsidR="00CE54AA" w:rsidRPr="00816DDD">
        <w:rPr>
          <w:szCs w:val="24"/>
        </w:rPr>
        <w:t xml:space="preserve">y </w:t>
      </w:r>
      <w:r w:rsidR="008B4951" w:rsidRPr="00816DDD">
        <w:rPr>
          <w:szCs w:val="24"/>
        </w:rPr>
        <w:t xml:space="preserve">operate </w:t>
      </w:r>
      <w:r w:rsidR="006E4DD4" w:rsidRPr="00816DDD">
        <w:rPr>
          <w:szCs w:val="24"/>
        </w:rPr>
        <w:t xml:space="preserve">either as </w:t>
      </w:r>
      <w:r w:rsidR="008B4951" w:rsidRPr="00816DDD">
        <w:rPr>
          <w:szCs w:val="24"/>
        </w:rPr>
        <w:t xml:space="preserve">for-profit companies or non-profit, member-owned organizations using </w:t>
      </w:r>
      <w:r w:rsidR="00602189">
        <w:rPr>
          <w:szCs w:val="24"/>
        </w:rPr>
        <w:t>mainly</w:t>
      </w:r>
      <w:r w:rsidR="006E4DD4" w:rsidRPr="00816DDD">
        <w:rPr>
          <w:szCs w:val="24"/>
        </w:rPr>
        <w:t xml:space="preserve"> </w:t>
      </w:r>
      <w:r w:rsidR="008B4951" w:rsidRPr="00816DDD">
        <w:rPr>
          <w:szCs w:val="24"/>
        </w:rPr>
        <w:t>electronic trading platforms</w:t>
      </w:r>
      <w:r w:rsidR="006E4DD4" w:rsidRPr="00816DDD">
        <w:rPr>
          <w:szCs w:val="24"/>
        </w:rPr>
        <w:t xml:space="preserve">, </w:t>
      </w:r>
      <w:r w:rsidR="008B4951" w:rsidRPr="00816DDD">
        <w:rPr>
          <w:szCs w:val="24"/>
        </w:rPr>
        <w:t xml:space="preserve">although some exchanges </w:t>
      </w:r>
      <w:r w:rsidR="00E35966" w:rsidRPr="00816DDD">
        <w:rPr>
          <w:szCs w:val="24"/>
        </w:rPr>
        <w:t>s</w:t>
      </w:r>
      <w:r w:rsidR="008B4951" w:rsidRPr="00816DDD">
        <w:rPr>
          <w:szCs w:val="24"/>
        </w:rPr>
        <w:t xml:space="preserve">till </w:t>
      </w:r>
      <w:r w:rsidR="00E35966" w:rsidRPr="00816DDD">
        <w:rPr>
          <w:szCs w:val="24"/>
        </w:rPr>
        <w:t>use</w:t>
      </w:r>
      <w:r w:rsidR="008B4951" w:rsidRPr="00816DDD">
        <w:rPr>
          <w:szCs w:val="24"/>
        </w:rPr>
        <w:t xml:space="preserve"> </w:t>
      </w:r>
      <w:r w:rsidR="00E35966" w:rsidRPr="00816DDD">
        <w:rPr>
          <w:szCs w:val="24"/>
        </w:rPr>
        <w:t>floor trading</w:t>
      </w:r>
      <w:r w:rsidR="00545424" w:rsidRPr="00816DDD">
        <w:rPr>
          <w:szCs w:val="24"/>
        </w:rPr>
        <w:t xml:space="preserve"> with </w:t>
      </w:r>
      <w:r w:rsidR="008B4951" w:rsidRPr="00816DDD">
        <w:rPr>
          <w:szCs w:val="24"/>
        </w:rPr>
        <w:t xml:space="preserve">open outcry. </w:t>
      </w:r>
      <w:r w:rsidR="00E35966" w:rsidRPr="00816DDD">
        <w:rPr>
          <w:szCs w:val="24"/>
        </w:rPr>
        <w:t xml:space="preserve"> </w:t>
      </w:r>
      <w:r w:rsidR="006E4DD4" w:rsidRPr="00816DDD">
        <w:rPr>
          <w:szCs w:val="24"/>
        </w:rPr>
        <w:t xml:space="preserve">Since 2000, many of the future </w:t>
      </w:r>
      <w:r w:rsidR="0016299B" w:rsidRPr="00816DDD">
        <w:rPr>
          <w:szCs w:val="24"/>
        </w:rPr>
        <w:t xml:space="preserve">exchanges </w:t>
      </w:r>
      <w:r w:rsidR="006E4DD4" w:rsidRPr="00816DDD">
        <w:rPr>
          <w:szCs w:val="24"/>
        </w:rPr>
        <w:t xml:space="preserve">have </w:t>
      </w:r>
      <w:r w:rsidR="00545424" w:rsidRPr="00816DDD">
        <w:rPr>
          <w:szCs w:val="24"/>
        </w:rPr>
        <w:t>merged with</w:t>
      </w:r>
      <w:r w:rsidR="006E4DD4" w:rsidRPr="00816DDD">
        <w:rPr>
          <w:szCs w:val="24"/>
        </w:rPr>
        <w:t xml:space="preserve"> </w:t>
      </w:r>
      <w:r w:rsidR="00036102" w:rsidRPr="00816DDD">
        <w:rPr>
          <w:szCs w:val="24"/>
        </w:rPr>
        <w:t xml:space="preserve">or </w:t>
      </w:r>
      <w:r w:rsidR="006E4DD4" w:rsidRPr="00816DDD">
        <w:rPr>
          <w:szCs w:val="24"/>
        </w:rPr>
        <w:t xml:space="preserve">been </w:t>
      </w:r>
      <w:r w:rsidR="0016299B" w:rsidRPr="00816DDD">
        <w:rPr>
          <w:szCs w:val="24"/>
        </w:rPr>
        <w:t xml:space="preserve">acquired by larger financial </w:t>
      </w:r>
      <w:r w:rsidR="00EE0F70" w:rsidRPr="00816DDD">
        <w:rPr>
          <w:szCs w:val="24"/>
        </w:rPr>
        <w:t xml:space="preserve">services </w:t>
      </w:r>
      <w:r w:rsidR="0016299B" w:rsidRPr="00816DDD">
        <w:rPr>
          <w:szCs w:val="24"/>
        </w:rPr>
        <w:t xml:space="preserve">conglomerates that also provide stock and option trading and other financial services.  </w:t>
      </w:r>
      <w:r w:rsidR="009A7681" w:rsidRPr="00816DDD">
        <w:rPr>
          <w:szCs w:val="24"/>
        </w:rPr>
        <w:t>CME Group</w:t>
      </w:r>
      <w:r w:rsidR="0051511B">
        <w:rPr>
          <w:szCs w:val="24"/>
        </w:rPr>
        <w:t>,</w:t>
      </w:r>
      <w:r w:rsidR="009A7681" w:rsidRPr="00816DDD">
        <w:rPr>
          <w:szCs w:val="24"/>
        </w:rPr>
        <w:t xml:space="preserve"> based in Chicago</w:t>
      </w:r>
      <w:r w:rsidR="0051511B">
        <w:rPr>
          <w:szCs w:val="24"/>
        </w:rPr>
        <w:t>,</w:t>
      </w:r>
      <w:r w:rsidR="009A7681" w:rsidRPr="00816DDD">
        <w:rPr>
          <w:szCs w:val="24"/>
        </w:rPr>
        <w:t xml:space="preserve"> </w:t>
      </w:r>
      <w:r w:rsidR="00036102" w:rsidRPr="00816DDD">
        <w:rPr>
          <w:szCs w:val="24"/>
        </w:rPr>
        <w:t xml:space="preserve">is </w:t>
      </w:r>
      <w:r w:rsidR="00B96D22" w:rsidRPr="00816DDD">
        <w:rPr>
          <w:szCs w:val="24"/>
        </w:rPr>
        <w:t xml:space="preserve">now </w:t>
      </w:r>
      <w:r w:rsidR="00036102" w:rsidRPr="00816DDD">
        <w:rPr>
          <w:szCs w:val="24"/>
        </w:rPr>
        <w:t xml:space="preserve">the world’s largest futures exchange </w:t>
      </w:r>
      <w:r w:rsidR="00EE0F70" w:rsidRPr="00816DDD">
        <w:rPr>
          <w:szCs w:val="24"/>
        </w:rPr>
        <w:t>and operates</w:t>
      </w:r>
      <w:r w:rsidR="009A7681" w:rsidRPr="00816DDD">
        <w:rPr>
          <w:szCs w:val="24"/>
        </w:rPr>
        <w:t xml:space="preserve"> </w:t>
      </w:r>
      <w:r w:rsidR="00EE0F70" w:rsidRPr="00816DDD">
        <w:rPr>
          <w:szCs w:val="24"/>
        </w:rPr>
        <w:t xml:space="preserve">the historic </w:t>
      </w:r>
      <w:r w:rsidR="00545424" w:rsidRPr="00816DDD">
        <w:rPr>
          <w:szCs w:val="24"/>
        </w:rPr>
        <w:t xml:space="preserve">Chicago Board of Trade (founded in 1848), </w:t>
      </w:r>
      <w:r w:rsidR="009A7681" w:rsidRPr="00816DDD">
        <w:rPr>
          <w:szCs w:val="24"/>
        </w:rPr>
        <w:t>Chicago Mercantile Exchange</w:t>
      </w:r>
      <w:r w:rsidR="00EE0F70" w:rsidRPr="00816DDD">
        <w:rPr>
          <w:szCs w:val="24"/>
        </w:rPr>
        <w:t xml:space="preserve"> (</w:t>
      </w:r>
      <w:r w:rsidR="00B96D22" w:rsidRPr="00816DDD">
        <w:rPr>
          <w:szCs w:val="24"/>
        </w:rPr>
        <w:t xml:space="preserve">founded in </w:t>
      </w:r>
      <w:r w:rsidR="00EE0F70" w:rsidRPr="00816DDD">
        <w:rPr>
          <w:szCs w:val="24"/>
        </w:rPr>
        <w:t>1898)</w:t>
      </w:r>
      <w:r w:rsidR="009A7681" w:rsidRPr="00816DDD">
        <w:rPr>
          <w:szCs w:val="24"/>
        </w:rPr>
        <w:t xml:space="preserve">, </w:t>
      </w:r>
      <w:r w:rsidR="006E4DD4" w:rsidRPr="00816DDD">
        <w:rPr>
          <w:szCs w:val="24"/>
        </w:rPr>
        <w:t xml:space="preserve">and </w:t>
      </w:r>
      <w:r w:rsidR="009A7681" w:rsidRPr="00816DDD">
        <w:rPr>
          <w:szCs w:val="24"/>
        </w:rPr>
        <w:t>New York Mercantile Exchange</w:t>
      </w:r>
      <w:r w:rsidR="00EE0F70" w:rsidRPr="00816DDD">
        <w:rPr>
          <w:szCs w:val="24"/>
        </w:rPr>
        <w:t xml:space="preserve"> (</w:t>
      </w:r>
      <w:r w:rsidR="00B96D22" w:rsidRPr="00816DDD">
        <w:rPr>
          <w:szCs w:val="24"/>
        </w:rPr>
        <w:t xml:space="preserve">founded in </w:t>
      </w:r>
      <w:r w:rsidR="00EE0F70" w:rsidRPr="00816DDD">
        <w:rPr>
          <w:szCs w:val="24"/>
        </w:rPr>
        <w:t xml:space="preserve">1882).  </w:t>
      </w:r>
      <w:r w:rsidR="00EE0F70" w:rsidRPr="00816DDD">
        <w:rPr>
          <w:rFonts w:hint="cs"/>
          <w:szCs w:val="24"/>
        </w:rPr>
        <w:t>Canada</w:t>
      </w:r>
      <w:r w:rsidR="00036102" w:rsidRPr="00816DDD">
        <w:rPr>
          <w:rFonts w:hint="cs"/>
          <w:szCs w:val="24"/>
        </w:rPr>
        <w:t xml:space="preserve">’s </w:t>
      </w:r>
      <w:r w:rsidR="00EE0F70" w:rsidRPr="00816DDD">
        <w:rPr>
          <w:rFonts w:hint="cs"/>
          <w:szCs w:val="24"/>
        </w:rPr>
        <w:t>Montreal Exchange</w:t>
      </w:r>
      <w:r w:rsidR="00036102" w:rsidRPr="00816DDD">
        <w:rPr>
          <w:rFonts w:hint="cs"/>
          <w:szCs w:val="24"/>
          <w:shd w:val="clear" w:color="auto" w:fill="FFFFFF"/>
        </w:rPr>
        <w:t xml:space="preserve"> trades</w:t>
      </w:r>
      <w:r w:rsidR="00036102" w:rsidRPr="00816DDD">
        <w:rPr>
          <w:szCs w:val="24"/>
          <w:shd w:val="clear" w:color="auto" w:fill="FFFFFF"/>
        </w:rPr>
        <w:t xml:space="preserve"> futures</w:t>
      </w:r>
      <w:r w:rsidR="00036102" w:rsidRPr="00816DDD">
        <w:rPr>
          <w:rFonts w:hint="cs"/>
          <w:szCs w:val="24"/>
          <w:shd w:val="clear" w:color="auto" w:fill="FFFFFF"/>
        </w:rPr>
        <w:t xml:space="preserve"> and </w:t>
      </w:r>
      <w:hyperlink r:id="rId9" w:tooltip="Option (finance)" w:history="1">
        <w:r w:rsidR="00036102" w:rsidRPr="00816DDD">
          <w:rPr>
            <w:rFonts w:hint="cs"/>
            <w:szCs w:val="24"/>
            <w:shd w:val="clear" w:color="auto" w:fill="FFFFFF"/>
          </w:rPr>
          <w:t>options</w:t>
        </w:r>
      </w:hyperlink>
      <w:r w:rsidR="00036102" w:rsidRPr="00816DDD">
        <w:rPr>
          <w:rFonts w:hint="cs"/>
          <w:szCs w:val="24"/>
          <w:shd w:val="clear" w:color="auto" w:fill="FFFFFF"/>
        </w:rPr>
        <w:t> on equities, indices, currencies, ETFs, energy and interest rates</w:t>
      </w:r>
      <w:r w:rsidR="00036102" w:rsidRPr="00816DDD">
        <w:rPr>
          <w:szCs w:val="24"/>
          <w:shd w:val="clear" w:color="auto" w:fill="FFFFFF"/>
        </w:rPr>
        <w:t xml:space="preserve"> and is owned by the TSX. </w:t>
      </w:r>
      <w:r w:rsidR="005113ED" w:rsidRPr="00816DDD">
        <w:rPr>
          <w:szCs w:val="24"/>
          <w:shd w:val="clear" w:color="auto" w:fill="FFFFFF"/>
        </w:rPr>
        <w:t xml:space="preserve"> The </w:t>
      </w:r>
      <w:r w:rsidR="005113ED" w:rsidRPr="00816DDD">
        <w:rPr>
          <w:szCs w:val="24"/>
        </w:rPr>
        <w:t xml:space="preserve">Canadian Derivatives Clearing Corporation (CDCC) is a subsidiary of the Montreal Exchange.  The Winnipeg Commodities Exchange was acquired by U.S.-based </w:t>
      </w:r>
      <w:r w:rsidR="00CC632D" w:rsidRPr="00816DDD">
        <w:rPr>
          <w:szCs w:val="24"/>
        </w:rPr>
        <w:t>Intercontinental Exchange (ICE) in 2007</w:t>
      </w:r>
      <w:r w:rsidR="0051511B">
        <w:rPr>
          <w:szCs w:val="24"/>
        </w:rPr>
        <w:t>,</w:t>
      </w:r>
      <w:r w:rsidR="00CC632D" w:rsidRPr="00816DDD">
        <w:rPr>
          <w:szCs w:val="24"/>
        </w:rPr>
        <w:t xml:space="preserve"> </w:t>
      </w:r>
      <w:r w:rsidR="00CC632D" w:rsidRPr="00816DDD">
        <w:rPr>
          <w:rFonts w:hint="cs"/>
          <w:szCs w:val="24"/>
        </w:rPr>
        <w:t>which continues to trade C</w:t>
      </w:r>
      <w:r w:rsidR="00CC632D" w:rsidRPr="00816DDD">
        <w:rPr>
          <w:rFonts w:hint="cs"/>
          <w:szCs w:val="24"/>
          <w:shd w:val="clear" w:color="auto" w:fill="FFFFFF"/>
        </w:rPr>
        <w:t>anadian contracts for milling </w:t>
      </w:r>
      <w:hyperlink r:id="rId10" w:tooltip="Wheat" w:history="1">
        <w:r w:rsidR="00CC632D" w:rsidRPr="00816DDD">
          <w:rPr>
            <w:rFonts w:hint="cs"/>
            <w:szCs w:val="24"/>
            <w:shd w:val="clear" w:color="auto" w:fill="FFFFFF"/>
          </w:rPr>
          <w:t>wheat</w:t>
        </w:r>
      </w:hyperlink>
      <w:r w:rsidR="00CC632D" w:rsidRPr="00816DDD">
        <w:rPr>
          <w:rFonts w:hint="cs"/>
          <w:szCs w:val="24"/>
          <w:shd w:val="clear" w:color="auto" w:fill="FFFFFF"/>
        </w:rPr>
        <w:t>, </w:t>
      </w:r>
      <w:hyperlink r:id="rId11" w:tooltip="Durum" w:history="1">
        <w:r w:rsidR="00CC632D" w:rsidRPr="00816DDD">
          <w:rPr>
            <w:rFonts w:hint="cs"/>
            <w:szCs w:val="24"/>
            <w:shd w:val="clear" w:color="auto" w:fill="FFFFFF"/>
          </w:rPr>
          <w:t>durum</w:t>
        </w:r>
      </w:hyperlink>
      <w:r w:rsidR="00CC632D" w:rsidRPr="00816DDD">
        <w:rPr>
          <w:szCs w:val="24"/>
        </w:rPr>
        <w:t xml:space="preserve"> wheat</w:t>
      </w:r>
      <w:r w:rsidR="00CC632D" w:rsidRPr="00816DDD">
        <w:rPr>
          <w:rFonts w:hint="cs"/>
          <w:szCs w:val="24"/>
          <w:shd w:val="clear" w:color="auto" w:fill="FFFFFF"/>
        </w:rPr>
        <w:t>,</w:t>
      </w:r>
      <w:r w:rsidR="00CC632D" w:rsidRPr="00816DDD">
        <w:rPr>
          <w:szCs w:val="24"/>
          <w:shd w:val="clear" w:color="auto" w:fill="FFFFFF"/>
        </w:rPr>
        <w:t xml:space="preserve"> </w:t>
      </w:r>
      <w:r w:rsidR="00CC632D" w:rsidRPr="00816DDD">
        <w:rPr>
          <w:rFonts w:hint="cs"/>
          <w:szCs w:val="24"/>
          <w:shd w:val="clear" w:color="auto" w:fill="FFFFFF"/>
        </w:rPr>
        <w:t>western </w:t>
      </w:r>
      <w:hyperlink r:id="rId12" w:tooltip="Barley" w:history="1">
        <w:r w:rsidR="00CC632D" w:rsidRPr="00816DDD">
          <w:rPr>
            <w:rFonts w:hint="cs"/>
            <w:szCs w:val="24"/>
            <w:shd w:val="clear" w:color="auto" w:fill="FFFFFF"/>
          </w:rPr>
          <w:t>barley</w:t>
        </w:r>
      </w:hyperlink>
      <w:r w:rsidR="00CC632D" w:rsidRPr="00816DDD">
        <w:rPr>
          <w:rFonts w:hint="cs"/>
          <w:szCs w:val="24"/>
          <w:shd w:val="clear" w:color="auto" w:fill="FFFFFF"/>
        </w:rPr>
        <w:t>, and </w:t>
      </w:r>
      <w:hyperlink r:id="rId13" w:tooltip="Canola" w:history="1">
        <w:r w:rsidR="00CC632D" w:rsidRPr="00816DDD">
          <w:rPr>
            <w:rFonts w:hint="cs"/>
            <w:szCs w:val="24"/>
            <w:shd w:val="clear" w:color="auto" w:fill="FFFFFF"/>
          </w:rPr>
          <w:t>canola</w:t>
        </w:r>
      </w:hyperlink>
      <w:r w:rsidR="00CC632D" w:rsidRPr="00816DDD">
        <w:rPr>
          <w:rFonts w:hint="cs"/>
          <w:szCs w:val="24"/>
          <w:shd w:val="clear" w:color="auto" w:fill="FFFFFF"/>
        </w:rPr>
        <w:t>.</w:t>
      </w:r>
    </w:p>
    <w:p w14:paraId="7F743C20" w14:textId="77777777" w:rsidR="00341820" w:rsidRPr="00816DDD" w:rsidRDefault="00341820" w:rsidP="004D6C86">
      <w:pPr>
        <w:spacing w:after="0" w:line="240" w:lineRule="auto"/>
        <w:rPr>
          <w:b/>
          <w:bCs/>
          <w:szCs w:val="24"/>
        </w:rPr>
      </w:pPr>
    </w:p>
    <w:p w14:paraId="68B5AC23" w14:textId="485CE49F" w:rsidR="00325B10" w:rsidRPr="00816DDD" w:rsidRDefault="00624EF2" w:rsidP="00BD6EBB">
      <w:pPr>
        <w:spacing w:after="0" w:line="240" w:lineRule="auto"/>
        <w:rPr>
          <w:b/>
          <w:bCs/>
          <w:szCs w:val="24"/>
        </w:rPr>
      </w:pPr>
      <w:r w:rsidRPr="00816DDD">
        <w:rPr>
          <w:b/>
          <w:bCs/>
          <w:szCs w:val="24"/>
        </w:rPr>
        <w:t xml:space="preserve">Price </w:t>
      </w:r>
      <w:r w:rsidR="00AA709B" w:rsidRPr="00816DDD">
        <w:rPr>
          <w:rFonts w:hint="cs"/>
          <w:b/>
          <w:bCs/>
          <w:szCs w:val="24"/>
        </w:rPr>
        <w:t>Qu</w:t>
      </w:r>
      <w:r w:rsidR="006562F8" w:rsidRPr="00816DDD">
        <w:rPr>
          <w:rFonts w:hint="cs"/>
          <w:b/>
          <w:bCs/>
          <w:szCs w:val="24"/>
        </w:rPr>
        <w:t>otations</w:t>
      </w:r>
    </w:p>
    <w:p w14:paraId="41701156" w14:textId="77777777" w:rsidR="00B700CC" w:rsidRPr="00816DDD" w:rsidRDefault="00B700CC" w:rsidP="00106AF7">
      <w:pPr>
        <w:shd w:val="clear" w:color="auto" w:fill="FFFFFF"/>
        <w:spacing w:after="0" w:line="240" w:lineRule="auto"/>
        <w:rPr>
          <w:rFonts w:eastAsia="Times New Roman"/>
          <w:spacing w:val="1"/>
          <w:szCs w:val="24"/>
        </w:rPr>
      </w:pPr>
    </w:p>
    <w:p w14:paraId="357400D6" w14:textId="3CE920E8" w:rsidR="00CD710F" w:rsidRPr="00816DDD" w:rsidRDefault="00D60658" w:rsidP="00106AF7">
      <w:pPr>
        <w:shd w:val="clear" w:color="auto" w:fill="FFFFFF"/>
        <w:spacing w:after="0" w:line="240" w:lineRule="auto"/>
        <w:rPr>
          <w:rFonts w:eastAsia="Times New Roman"/>
          <w:spacing w:val="1"/>
          <w:szCs w:val="24"/>
        </w:rPr>
      </w:pPr>
      <w:r w:rsidRPr="00816DDD">
        <w:rPr>
          <w:rFonts w:eastAsia="Times New Roman"/>
          <w:spacing w:val="1"/>
          <w:szCs w:val="24"/>
        </w:rPr>
        <w:t xml:space="preserve">Futures are standardized contracts that </w:t>
      </w:r>
      <w:r w:rsidR="00C3505F" w:rsidRPr="00816DDD">
        <w:rPr>
          <w:rFonts w:eastAsia="Times New Roman"/>
          <w:spacing w:val="1"/>
          <w:szCs w:val="24"/>
        </w:rPr>
        <w:t>trade publicly on organized exchanges</w:t>
      </w:r>
      <w:r w:rsidR="00082DED" w:rsidRPr="00816DDD">
        <w:rPr>
          <w:rFonts w:eastAsia="Times New Roman"/>
          <w:spacing w:val="1"/>
          <w:szCs w:val="24"/>
        </w:rPr>
        <w:t xml:space="preserve">.  </w:t>
      </w:r>
      <w:r w:rsidR="00252DEB" w:rsidRPr="00816DDD">
        <w:rPr>
          <w:rFonts w:eastAsia="Times New Roman"/>
          <w:spacing w:val="1"/>
          <w:szCs w:val="24"/>
        </w:rPr>
        <w:t>Each</w:t>
      </w:r>
      <w:r w:rsidR="00082DED" w:rsidRPr="00816DDD">
        <w:rPr>
          <w:rFonts w:eastAsia="Times New Roman"/>
          <w:spacing w:val="1"/>
          <w:szCs w:val="24"/>
        </w:rPr>
        <w:t xml:space="preserve"> exchange design</w:t>
      </w:r>
      <w:r w:rsidR="00252DEB" w:rsidRPr="00816DDD">
        <w:rPr>
          <w:rFonts w:eastAsia="Times New Roman"/>
          <w:spacing w:val="1"/>
          <w:szCs w:val="24"/>
        </w:rPr>
        <w:t>s</w:t>
      </w:r>
      <w:r w:rsidR="00082DED" w:rsidRPr="00816DDD">
        <w:rPr>
          <w:rFonts w:eastAsia="Times New Roman"/>
          <w:spacing w:val="1"/>
          <w:szCs w:val="24"/>
        </w:rPr>
        <w:t xml:space="preserve"> </w:t>
      </w:r>
      <w:r w:rsidR="00252DEB" w:rsidRPr="00816DDD">
        <w:rPr>
          <w:rFonts w:eastAsia="Times New Roman"/>
          <w:spacing w:val="1"/>
          <w:szCs w:val="24"/>
        </w:rPr>
        <w:t xml:space="preserve">its </w:t>
      </w:r>
      <w:r w:rsidR="00082DED" w:rsidRPr="00816DDD">
        <w:rPr>
          <w:rFonts w:eastAsia="Times New Roman"/>
          <w:spacing w:val="1"/>
          <w:szCs w:val="24"/>
        </w:rPr>
        <w:t>own contract</w:t>
      </w:r>
      <w:r w:rsidR="00252DEB" w:rsidRPr="00816DDD">
        <w:rPr>
          <w:rFonts w:eastAsia="Times New Roman"/>
          <w:spacing w:val="1"/>
          <w:szCs w:val="24"/>
        </w:rPr>
        <w:t>s</w:t>
      </w:r>
      <w:r w:rsidR="00082DED" w:rsidRPr="00816DDD">
        <w:rPr>
          <w:rFonts w:eastAsia="Times New Roman"/>
          <w:spacing w:val="1"/>
          <w:szCs w:val="24"/>
        </w:rPr>
        <w:t>, oversee</w:t>
      </w:r>
      <w:r w:rsidR="00252DEB" w:rsidRPr="00816DDD">
        <w:rPr>
          <w:rFonts w:eastAsia="Times New Roman"/>
          <w:spacing w:val="1"/>
          <w:szCs w:val="24"/>
        </w:rPr>
        <w:t>s</w:t>
      </w:r>
      <w:r w:rsidR="00082DED" w:rsidRPr="00816DDD">
        <w:rPr>
          <w:rFonts w:eastAsia="Times New Roman"/>
          <w:spacing w:val="1"/>
          <w:szCs w:val="24"/>
        </w:rPr>
        <w:t xml:space="preserve"> </w:t>
      </w:r>
      <w:r w:rsidR="008F7037">
        <w:rPr>
          <w:rFonts w:eastAsia="Times New Roman"/>
          <w:spacing w:val="1"/>
          <w:szCs w:val="24"/>
        </w:rPr>
        <w:t>its</w:t>
      </w:r>
      <w:r w:rsidR="00082DED" w:rsidRPr="00816DDD">
        <w:rPr>
          <w:rFonts w:eastAsia="Times New Roman"/>
          <w:spacing w:val="1"/>
          <w:szCs w:val="24"/>
        </w:rPr>
        <w:t xml:space="preserve"> trading, and </w:t>
      </w:r>
      <w:r w:rsidR="00624EF2" w:rsidRPr="00816DDD">
        <w:rPr>
          <w:rFonts w:eastAsia="Times New Roman"/>
          <w:spacing w:val="1"/>
          <w:szCs w:val="24"/>
        </w:rPr>
        <w:t>provides</w:t>
      </w:r>
      <w:r w:rsidR="00082DED" w:rsidRPr="00816DDD">
        <w:rPr>
          <w:rFonts w:eastAsia="Times New Roman"/>
          <w:spacing w:val="1"/>
          <w:szCs w:val="24"/>
        </w:rPr>
        <w:t xml:space="preserve"> </w:t>
      </w:r>
      <w:r w:rsidR="00252DEB" w:rsidRPr="00816DDD">
        <w:rPr>
          <w:rFonts w:eastAsia="Times New Roman"/>
          <w:spacing w:val="1"/>
          <w:szCs w:val="24"/>
        </w:rPr>
        <w:t>the public with a description</w:t>
      </w:r>
      <w:r w:rsidR="00CB79E2" w:rsidRPr="00816DDD">
        <w:rPr>
          <w:rFonts w:eastAsia="Times New Roman"/>
          <w:spacing w:val="1"/>
          <w:szCs w:val="24"/>
        </w:rPr>
        <w:t xml:space="preserve"> </w:t>
      </w:r>
      <w:r w:rsidR="00252DEB" w:rsidRPr="00816DDD">
        <w:rPr>
          <w:rFonts w:eastAsia="Times New Roman"/>
          <w:spacing w:val="1"/>
          <w:szCs w:val="24"/>
        </w:rPr>
        <w:t xml:space="preserve">along with </w:t>
      </w:r>
      <w:r w:rsidR="00C3505F" w:rsidRPr="00816DDD">
        <w:rPr>
          <w:rFonts w:eastAsia="Times New Roman"/>
          <w:spacing w:val="1"/>
          <w:szCs w:val="24"/>
        </w:rPr>
        <w:t xml:space="preserve">real-time pricing and volume data. </w:t>
      </w:r>
      <w:r w:rsidR="006F3B1D" w:rsidRPr="00816DDD">
        <w:rPr>
          <w:rFonts w:eastAsia="Times New Roman"/>
          <w:spacing w:val="1"/>
          <w:szCs w:val="24"/>
        </w:rPr>
        <w:t xml:space="preserve">Exhibit 14 </w:t>
      </w:r>
      <w:r w:rsidR="00390511" w:rsidRPr="00816DDD">
        <w:rPr>
          <w:rFonts w:eastAsia="Times New Roman"/>
          <w:spacing w:val="1"/>
          <w:szCs w:val="24"/>
        </w:rPr>
        <w:t>defin</w:t>
      </w:r>
      <w:r w:rsidR="0085267D" w:rsidRPr="00816DDD">
        <w:rPr>
          <w:rFonts w:eastAsia="Times New Roman"/>
          <w:spacing w:val="1"/>
          <w:szCs w:val="24"/>
        </w:rPr>
        <w:t>e</w:t>
      </w:r>
      <w:r w:rsidR="00643A6C" w:rsidRPr="00816DDD">
        <w:rPr>
          <w:rFonts w:eastAsia="Times New Roman"/>
          <w:spacing w:val="1"/>
          <w:szCs w:val="24"/>
        </w:rPr>
        <w:t xml:space="preserve">s </w:t>
      </w:r>
      <w:r w:rsidR="00CB79E2" w:rsidRPr="00816DDD">
        <w:rPr>
          <w:rFonts w:eastAsia="Times New Roman"/>
          <w:spacing w:val="1"/>
          <w:szCs w:val="24"/>
        </w:rPr>
        <w:t xml:space="preserve">some </w:t>
      </w:r>
      <w:r w:rsidR="00643A6C" w:rsidRPr="00816DDD">
        <w:rPr>
          <w:rFonts w:eastAsia="Times New Roman"/>
          <w:spacing w:val="1"/>
          <w:szCs w:val="24"/>
        </w:rPr>
        <w:t xml:space="preserve">key </w:t>
      </w:r>
      <w:r w:rsidR="00390511" w:rsidRPr="00816DDD">
        <w:rPr>
          <w:rFonts w:eastAsia="Times New Roman"/>
          <w:spacing w:val="1"/>
          <w:szCs w:val="24"/>
        </w:rPr>
        <w:t>terminology.</w:t>
      </w:r>
    </w:p>
    <w:p w14:paraId="07D7784A" w14:textId="77777777" w:rsidR="00B36DD6" w:rsidRPr="00816DDD" w:rsidRDefault="00B36DD6" w:rsidP="00CD710F">
      <w:pPr>
        <w:shd w:val="clear" w:color="auto" w:fill="FFFFFF"/>
        <w:spacing w:after="0" w:line="240" w:lineRule="auto"/>
        <w:jc w:val="center"/>
        <w:rPr>
          <w:rFonts w:eastAsia="Times New Roman"/>
          <w:b/>
          <w:bCs/>
          <w:spacing w:val="1"/>
          <w:sz w:val="20"/>
          <w:szCs w:val="20"/>
        </w:rPr>
      </w:pPr>
    </w:p>
    <w:p w14:paraId="3953AC6F" w14:textId="77777777" w:rsidR="003807FD" w:rsidRDefault="003807FD">
      <w:pPr>
        <w:rPr>
          <w:rFonts w:eastAsia="Times New Roman"/>
          <w:b/>
          <w:bCs/>
          <w:spacing w:val="1"/>
          <w:sz w:val="20"/>
          <w:szCs w:val="20"/>
        </w:rPr>
      </w:pPr>
      <w:r>
        <w:rPr>
          <w:rFonts w:eastAsia="Times New Roman"/>
          <w:b/>
          <w:bCs/>
          <w:spacing w:val="1"/>
          <w:sz w:val="20"/>
          <w:szCs w:val="20"/>
        </w:rPr>
        <w:br w:type="page"/>
      </w:r>
    </w:p>
    <w:p w14:paraId="7EF49025" w14:textId="2FFA8882" w:rsidR="00D60658" w:rsidRPr="00816DDD" w:rsidRDefault="00CD710F" w:rsidP="00CD710F">
      <w:pPr>
        <w:shd w:val="clear" w:color="auto" w:fill="FFFFFF"/>
        <w:spacing w:after="0" w:line="240" w:lineRule="auto"/>
        <w:jc w:val="center"/>
        <w:rPr>
          <w:rFonts w:eastAsia="Times New Roman"/>
          <w:b/>
          <w:bCs/>
          <w:spacing w:val="1"/>
          <w:sz w:val="20"/>
          <w:szCs w:val="20"/>
        </w:rPr>
      </w:pPr>
      <w:r w:rsidRPr="00816DDD">
        <w:rPr>
          <w:rFonts w:eastAsia="Times New Roman"/>
          <w:b/>
          <w:bCs/>
          <w:spacing w:val="1"/>
          <w:sz w:val="20"/>
          <w:szCs w:val="20"/>
        </w:rPr>
        <w:lastRenderedPageBreak/>
        <w:t>Exhibit 1</w:t>
      </w:r>
      <w:r w:rsidR="009A7EBD" w:rsidRPr="00816DDD">
        <w:rPr>
          <w:rFonts w:eastAsia="Times New Roman"/>
          <w:b/>
          <w:bCs/>
          <w:spacing w:val="1"/>
          <w:sz w:val="20"/>
          <w:szCs w:val="20"/>
        </w:rPr>
        <w:t>5</w:t>
      </w:r>
      <w:r w:rsidRPr="00816DDD">
        <w:rPr>
          <w:rFonts w:eastAsia="Times New Roman"/>
          <w:b/>
          <w:bCs/>
          <w:spacing w:val="1"/>
          <w:sz w:val="20"/>
          <w:szCs w:val="20"/>
        </w:rPr>
        <w:t>:  Futures Contract Terminology</w:t>
      </w:r>
    </w:p>
    <w:p w14:paraId="42141D2C" w14:textId="77777777" w:rsidR="00CD710F" w:rsidRPr="00816DDD" w:rsidRDefault="00CD710F" w:rsidP="00CD710F">
      <w:pPr>
        <w:shd w:val="clear" w:color="auto" w:fill="FFFFFF"/>
        <w:spacing w:after="0" w:line="240" w:lineRule="auto"/>
        <w:jc w:val="center"/>
        <w:rPr>
          <w:rFonts w:eastAsia="Times New Roman"/>
          <w:b/>
          <w:bCs/>
          <w:spacing w:val="1"/>
          <w:sz w:val="20"/>
          <w:szCs w:val="20"/>
        </w:rPr>
      </w:pPr>
    </w:p>
    <w:tbl>
      <w:tblPr>
        <w:tblStyle w:val="TableGrid"/>
        <w:tblW w:w="0" w:type="auto"/>
        <w:tblInd w:w="625" w:type="dxa"/>
        <w:tblLook w:val="04A0" w:firstRow="1" w:lastRow="0" w:firstColumn="1" w:lastColumn="0" w:noHBand="0" w:noVBand="1"/>
      </w:tblPr>
      <w:tblGrid>
        <w:gridCol w:w="2970"/>
        <w:gridCol w:w="6480"/>
      </w:tblGrid>
      <w:tr w:rsidR="00816DDD" w:rsidRPr="00816DDD" w14:paraId="430E898D" w14:textId="77777777" w:rsidTr="00EA41A0">
        <w:tc>
          <w:tcPr>
            <w:tcW w:w="2970" w:type="dxa"/>
            <w:vAlign w:val="center"/>
          </w:tcPr>
          <w:p w14:paraId="48303E3D" w14:textId="17058578" w:rsidR="00D60658" w:rsidRPr="00816DDD" w:rsidRDefault="00D60658" w:rsidP="00106AF7">
            <w:pPr>
              <w:rPr>
                <w:rFonts w:eastAsia="Times New Roman"/>
                <w:spacing w:val="1"/>
                <w:sz w:val="20"/>
                <w:szCs w:val="20"/>
              </w:rPr>
            </w:pPr>
            <w:r w:rsidRPr="00816DDD">
              <w:rPr>
                <w:sz w:val="20"/>
                <w:szCs w:val="20"/>
              </w:rPr>
              <w:t>Name of contract</w:t>
            </w:r>
          </w:p>
        </w:tc>
        <w:tc>
          <w:tcPr>
            <w:tcW w:w="6480" w:type="dxa"/>
            <w:vAlign w:val="center"/>
          </w:tcPr>
          <w:p w14:paraId="7DD081BF" w14:textId="1A154221" w:rsidR="00D60658" w:rsidRPr="00816DDD" w:rsidRDefault="00D60658" w:rsidP="00106AF7">
            <w:pPr>
              <w:rPr>
                <w:rFonts w:eastAsia="Times New Roman"/>
                <w:spacing w:val="1"/>
                <w:sz w:val="20"/>
                <w:szCs w:val="20"/>
              </w:rPr>
            </w:pPr>
            <w:r w:rsidRPr="00816DDD">
              <w:rPr>
                <w:sz w:val="20"/>
                <w:szCs w:val="20"/>
              </w:rPr>
              <w:t xml:space="preserve">Description of the underlying asset being bought </w:t>
            </w:r>
            <w:r w:rsidR="00624EF2" w:rsidRPr="00816DDD">
              <w:rPr>
                <w:sz w:val="20"/>
                <w:szCs w:val="20"/>
              </w:rPr>
              <w:t>and</w:t>
            </w:r>
            <w:r w:rsidRPr="00816DDD">
              <w:rPr>
                <w:sz w:val="20"/>
                <w:szCs w:val="20"/>
              </w:rPr>
              <w:t xml:space="preserve"> sold</w:t>
            </w:r>
          </w:p>
        </w:tc>
      </w:tr>
      <w:tr w:rsidR="00816DDD" w:rsidRPr="00816DDD" w14:paraId="75D2D5A0" w14:textId="77777777" w:rsidTr="00EA41A0">
        <w:tc>
          <w:tcPr>
            <w:tcW w:w="2970" w:type="dxa"/>
            <w:vAlign w:val="center"/>
          </w:tcPr>
          <w:p w14:paraId="1FBFC828" w14:textId="5BF8CB2E" w:rsidR="00D60658" w:rsidRPr="00816DDD" w:rsidRDefault="00D60658" w:rsidP="00106AF7">
            <w:pPr>
              <w:rPr>
                <w:rFonts w:eastAsia="Times New Roman"/>
                <w:spacing w:val="1"/>
                <w:sz w:val="20"/>
                <w:szCs w:val="20"/>
              </w:rPr>
            </w:pPr>
            <w:r w:rsidRPr="00816DDD">
              <w:rPr>
                <w:sz w:val="20"/>
                <w:szCs w:val="20"/>
              </w:rPr>
              <w:t xml:space="preserve">Contract </w:t>
            </w:r>
            <w:r w:rsidR="00390511" w:rsidRPr="00816DDD">
              <w:rPr>
                <w:sz w:val="20"/>
                <w:szCs w:val="20"/>
              </w:rPr>
              <w:t>code</w:t>
            </w:r>
          </w:p>
        </w:tc>
        <w:tc>
          <w:tcPr>
            <w:tcW w:w="6480" w:type="dxa"/>
            <w:vAlign w:val="center"/>
          </w:tcPr>
          <w:p w14:paraId="1B6E6985" w14:textId="6FBCFCB4" w:rsidR="00D60658" w:rsidRPr="00816DDD" w:rsidRDefault="00624EF2" w:rsidP="00106AF7">
            <w:pPr>
              <w:rPr>
                <w:rFonts w:eastAsia="Times New Roman"/>
                <w:spacing w:val="1"/>
                <w:sz w:val="20"/>
                <w:szCs w:val="20"/>
              </w:rPr>
            </w:pPr>
            <w:r w:rsidRPr="00816DDD">
              <w:rPr>
                <w:sz w:val="20"/>
                <w:szCs w:val="20"/>
              </w:rPr>
              <w:t>T</w:t>
            </w:r>
            <w:r w:rsidR="00D60658" w:rsidRPr="00816DDD">
              <w:rPr>
                <w:sz w:val="20"/>
                <w:szCs w:val="20"/>
              </w:rPr>
              <w:t xml:space="preserve">wo-character </w:t>
            </w:r>
            <w:r w:rsidR="00390511" w:rsidRPr="00816DDD">
              <w:rPr>
                <w:sz w:val="20"/>
                <w:szCs w:val="20"/>
              </w:rPr>
              <w:t xml:space="preserve">code </w:t>
            </w:r>
            <w:r w:rsidRPr="00816DDD">
              <w:rPr>
                <w:sz w:val="20"/>
                <w:szCs w:val="20"/>
              </w:rPr>
              <w:t>for</w:t>
            </w:r>
            <w:r w:rsidR="00CE0D5B" w:rsidRPr="00816DDD">
              <w:rPr>
                <w:sz w:val="20"/>
                <w:szCs w:val="20"/>
              </w:rPr>
              <w:t xml:space="preserve"> the</w:t>
            </w:r>
            <w:r w:rsidRPr="00816DDD">
              <w:rPr>
                <w:sz w:val="20"/>
                <w:szCs w:val="20"/>
              </w:rPr>
              <w:t xml:space="preserve"> contract</w:t>
            </w:r>
          </w:p>
        </w:tc>
      </w:tr>
      <w:tr w:rsidR="00816DDD" w:rsidRPr="00816DDD" w14:paraId="38F0BDB7" w14:textId="77777777" w:rsidTr="00EA41A0">
        <w:tc>
          <w:tcPr>
            <w:tcW w:w="2970" w:type="dxa"/>
            <w:vAlign w:val="center"/>
          </w:tcPr>
          <w:p w14:paraId="345A51D0" w14:textId="02434D2C" w:rsidR="00D60658" w:rsidRPr="00816DDD" w:rsidRDefault="00D60658" w:rsidP="00106AF7">
            <w:pPr>
              <w:rPr>
                <w:rFonts w:eastAsia="Times New Roman"/>
                <w:spacing w:val="1"/>
                <w:sz w:val="20"/>
                <w:szCs w:val="20"/>
              </w:rPr>
            </w:pPr>
            <w:r w:rsidRPr="00816DDD">
              <w:rPr>
                <w:sz w:val="20"/>
                <w:szCs w:val="20"/>
              </w:rPr>
              <w:t>Exchange</w:t>
            </w:r>
          </w:p>
        </w:tc>
        <w:tc>
          <w:tcPr>
            <w:tcW w:w="6480" w:type="dxa"/>
            <w:vAlign w:val="center"/>
          </w:tcPr>
          <w:p w14:paraId="0801679E" w14:textId="79DDCB66" w:rsidR="00D60658" w:rsidRPr="00816DDD" w:rsidRDefault="00D60658" w:rsidP="00106AF7">
            <w:pPr>
              <w:rPr>
                <w:rFonts w:eastAsia="Times New Roman"/>
                <w:spacing w:val="1"/>
                <w:sz w:val="20"/>
                <w:szCs w:val="20"/>
              </w:rPr>
            </w:pPr>
            <w:r w:rsidRPr="00816DDD">
              <w:rPr>
                <w:rFonts w:eastAsia="Times New Roman"/>
                <w:spacing w:val="1"/>
                <w:sz w:val="20"/>
                <w:szCs w:val="20"/>
              </w:rPr>
              <w:t>E</w:t>
            </w:r>
            <w:r w:rsidRPr="00BD6EBB">
              <w:rPr>
                <w:rFonts w:eastAsia="Times New Roman" w:hint="cs"/>
                <w:spacing w:val="1"/>
                <w:sz w:val="20"/>
                <w:szCs w:val="20"/>
              </w:rPr>
              <w:t xml:space="preserve">xchange </w:t>
            </w:r>
            <w:r w:rsidRPr="00816DDD">
              <w:rPr>
                <w:rFonts w:eastAsia="Times New Roman"/>
                <w:spacing w:val="1"/>
                <w:sz w:val="20"/>
                <w:szCs w:val="20"/>
              </w:rPr>
              <w:t xml:space="preserve">where </w:t>
            </w:r>
            <w:r w:rsidRPr="00BD6EBB">
              <w:rPr>
                <w:rFonts w:eastAsia="Times New Roman" w:hint="cs"/>
                <w:spacing w:val="1"/>
                <w:sz w:val="20"/>
                <w:szCs w:val="20"/>
              </w:rPr>
              <w:t>the contract trades</w:t>
            </w:r>
          </w:p>
        </w:tc>
      </w:tr>
      <w:tr w:rsidR="00816DDD" w:rsidRPr="00816DDD" w14:paraId="2C7100A7" w14:textId="77777777" w:rsidTr="00EA41A0">
        <w:tc>
          <w:tcPr>
            <w:tcW w:w="2970" w:type="dxa"/>
            <w:vAlign w:val="center"/>
          </w:tcPr>
          <w:p w14:paraId="06AADA7E" w14:textId="667C7689" w:rsidR="00D60658" w:rsidRPr="00816DDD" w:rsidRDefault="00D60658" w:rsidP="00106AF7">
            <w:pPr>
              <w:rPr>
                <w:rFonts w:eastAsia="Times New Roman"/>
                <w:spacing w:val="1"/>
                <w:sz w:val="20"/>
                <w:szCs w:val="20"/>
              </w:rPr>
            </w:pPr>
            <w:r w:rsidRPr="00816DDD">
              <w:rPr>
                <w:sz w:val="20"/>
                <w:szCs w:val="20"/>
              </w:rPr>
              <w:t>Contract size</w:t>
            </w:r>
          </w:p>
        </w:tc>
        <w:tc>
          <w:tcPr>
            <w:tcW w:w="6480" w:type="dxa"/>
            <w:vAlign w:val="center"/>
          </w:tcPr>
          <w:p w14:paraId="638CD269" w14:textId="67319EB6" w:rsidR="00D60658" w:rsidRPr="00816DDD" w:rsidRDefault="00D60658" w:rsidP="00106AF7">
            <w:pPr>
              <w:rPr>
                <w:rFonts w:eastAsia="Times New Roman"/>
                <w:spacing w:val="1"/>
                <w:sz w:val="20"/>
                <w:szCs w:val="20"/>
              </w:rPr>
            </w:pPr>
            <w:r w:rsidRPr="00816DDD">
              <w:rPr>
                <w:sz w:val="20"/>
                <w:szCs w:val="20"/>
              </w:rPr>
              <w:t>Standard size of the contract</w:t>
            </w:r>
          </w:p>
        </w:tc>
      </w:tr>
      <w:tr w:rsidR="00816DDD" w:rsidRPr="00816DDD" w14:paraId="6E0B13ED" w14:textId="77777777" w:rsidTr="00EA41A0">
        <w:tc>
          <w:tcPr>
            <w:tcW w:w="2970" w:type="dxa"/>
            <w:vAlign w:val="center"/>
          </w:tcPr>
          <w:p w14:paraId="0632DFD6" w14:textId="4EE0B7FC" w:rsidR="00D60658" w:rsidRPr="00816DDD" w:rsidRDefault="00D60658" w:rsidP="00106AF7">
            <w:pPr>
              <w:rPr>
                <w:rFonts w:eastAsia="Times New Roman"/>
                <w:spacing w:val="1"/>
                <w:sz w:val="20"/>
                <w:szCs w:val="20"/>
              </w:rPr>
            </w:pPr>
            <w:r w:rsidRPr="00816DDD">
              <w:rPr>
                <w:sz w:val="20"/>
                <w:szCs w:val="20"/>
              </w:rPr>
              <w:t>Contract value</w:t>
            </w:r>
          </w:p>
        </w:tc>
        <w:tc>
          <w:tcPr>
            <w:tcW w:w="6480" w:type="dxa"/>
            <w:vAlign w:val="center"/>
          </w:tcPr>
          <w:p w14:paraId="68C1CE0F" w14:textId="65B61EA5" w:rsidR="00D60658" w:rsidRPr="00816DDD" w:rsidRDefault="00D60658" w:rsidP="00106AF7">
            <w:pPr>
              <w:rPr>
                <w:rFonts w:eastAsia="Times New Roman"/>
                <w:spacing w:val="1"/>
                <w:sz w:val="20"/>
                <w:szCs w:val="20"/>
              </w:rPr>
            </w:pPr>
            <w:r w:rsidRPr="00816DDD">
              <w:rPr>
                <w:sz w:val="20"/>
                <w:szCs w:val="20"/>
              </w:rPr>
              <w:t>Size of the contract times the current market price</w:t>
            </w:r>
          </w:p>
        </w:tc>
      </w:tr>
      <w:tr w:rsidR="00816DDD" w:rsidRPr="00816DDD" w14:paraId="3F7A5BEE" w14:textId="77777777" w:rsidTr="00EA41A0">
        <w:tc>
          <w:tcPr>
            <w:tcW w:w="2970" w:type="dxa"/>
            <w:vAlign w:val="center"/>
          </w:tcPr>
          <w:p w14:paraId="659D1B6E" w14:textId="715ED6BE" w:rsidR="005F6831" w:rsidRPr="00816DDD" w:rsidRDefault="008A5F8A" w:rsidP="00106AF7">
            <w:pPr>
              <w:rPr>
                <w:sz w:val="20"/>
                <w:szCs w:val="20"/>
              </w:rPr>
            </w:pPr>
            <w:r w:rsidRPr="00816DDD">
              <w:rPr>
                <w:sz w:val="20"/>
                <w:szCs w:val="20"/>
              </w:rPr>
              <w:t>Minimum tick</w:t>
            </w:r>
          </w:p>
        </w:tc>
        <w:tc>
          <w:tcPr>
            <w:tcW w:w="6480" w:type="dxa"/>
            <w:vAlign w:val="center"/>
          </w:tcPr>
          <w:p w14:paraId="57324B2A" w14:textId="1EA81F7E" w:rsidR="005F6831" w:rsidRPr="00816DDD" w:rsidRDefault="000B481F" w:rsidP="00106AF7">
            <w:pPr>
              <w:rPr>
                <w:sz w:val="20"/>
                <w:szCs w:val="20"/>
              </w:rPr>
            </w:pPr>
            <w:r w:rsidRPr="00816DDD">
              <w:rPr>
                <w:sz w:val="20"/>
                <w:szCs w:val="20"/>
              </w:rPr>
              <w:t>Minimum fluctuation in the</w:t>
            </w:r>
            <w:r w:rsidR="00D52A54" w:rsidRPr="00816DDD">
              <w:rPr>
                <w:sz w:val="20"/>
                <w:szCs w:val="20"/>
              </w:rPr>
              <w:t xml:space="preserve"> price of </w:t>
            </w:r>
            <w:r w:rsidR="00E31FE6" w:rsidRPr="00816DDD">
              <w:rPr>
                <w:sz w:val="20"/>
                <w:szCs w:val="20"/>
              </w:rPr>
              <w:t>one</w:t>
            </w:r>
            <w:r w:rsidR="00D52A54" w:rsidRPr="00816DDD">
              <w:rPr>
                <w:sz w:val="20"/>
                <w:szCs w:val="20"/>
              </w:rPr>
              <w:t xml:space="preserve"> </w:t>
            </w:r>
            <w:r w:rsidR="00390511" w:rsidRPr="00816DDD">
              <w:rPr>
                <w:sz w:val="20"/>
                <w:szCs w:val="20"/>
              </w:rPr>
              <w:t xml:space="preserve">futures </w:t>
            </w:r>
            <w:r w:rsidR="00D52A54" w:rsidRPr="00816DDD">
              <w:rPr>
                <w:sz w:val="20"/>
                <w:szCs w:val="20"/>
              </w:rPr>
              <w:t>contract unit</w:t>
            </w:r>
          </w:p>
        </w:tc>
      </w:tr>
      <w:tr w:rsidR="00816DDD" w:rsidRPr="00816DDD" w14:paraId="11A07F80" w14:textId="77777777" w:rsidTr="00EA41A0">
        <w:tc>
          <w:tcPr>
            <w:tcW w:w="2970" w:type="dxa"/>
            <w:vAlign w:val="center"/>
          </w:tcPr>
          <w:p w14:paraId="76E191FC" w14:textId="2B7C5E19" w:rsidR="005F6831" w:rsidRPr="00816DDD" w:rsidRDefault="00EA41A0" w:rsidP="00106AF7">
            <w:pPr>
              <w:rPr>
                <w:sz w:val="20"/>
                <w:szCs w:val="20"/>
              </w:rPr>
            </w:pPr>
            <w:r w:rsidRPr="00816DDD">
              <w:rPr>
                <w:sz w:val="20"/>
                <w:szCs w:val="20"/>
              </w:rPr>
              <w:t>Tick value</w:t>
            </w:r>
          </w:p>
        </w:tc>
        <w:tc>
          <w:tcPr>
            <w:tcW w:w="6480" w:type="dxa"/>
            <w:vAlign w:val="center"/>
          </w:tcPr>
          <w:p w14:paraId="46AA62E3" w14:textId="5FC24117" w:rsidR="005F6831" w:rsidRPr="00816DDD" w:rsidRDefault="00EA41A0" w:rsidP="00106AF7">
            <w:pPr>
              <w:rPr>
                <w:sz w:val="20"/>
                <w:szCs w:val="20"/>
              </w:rPr>
            </w:pPr>
            <w:r w:rsidRPr="00816DDD">
              <w:rPr>
                <w:sz w:val="20"/>
                <w:szCs w:val="20"/>
              </w:rPr>
              <w:t xml:space="preserve">Minimum </w:t>
            </w:r>
            <w:r w:rsidR="000B481F" w:rsidRPr="00816DDD">
              <w:rPr>
                <w:sz w:val="20"/>
                <w:szCs w:val="20"/>
              </w:rPr>
              <w:t xml:space="preserve">fluctuation in the value of </w:t>
            </w:r>
            <w:r w:rsidR="00E31FE6" w:rsidRPr="00816DDD">
              <w:rPr>
                <w:sz w:val="20"/>
                <w:szCs w:val="20"/>
              </w:rPr>
              <w:t>one</w:t>
            </w:r>
            <w:r w:rsidR="006961D2" w:rsidRPr="00816DDD">
              <w:rPr>
                <w:sz w:val="20"/>
                <w:szCs w:val="20"/>
              </w:rPr>
              <w:t xml:space="preserve"> </w:t>
            </w:r>
            <w:r w:rsidR="000B481F" w:rsidRPr="00816DDD">
              <w:rPr>
                <w:sz w:val="20"/>
                <w:szCs w:val="20"/>
              </w:rPr>
              <w:t>futures contract</w:t>
            </w:r>
          </w:p>
        </w:tc>
      </w:tr>
      <w:tr w:rsidR="00816DDD" w:rsidRPr="00816DDD" w14:paraId="50A031C0" w14:textId="77777777" w:rsidTr="00EA41A0">
        <w:tc>
          <w:tcPr>
            <w:tcW w:w="2970" w:type="dxa"/>
            <w:vAlign w:val="center"/>
          </w:tcPr>
          <w:p w14:paraId="6AF15FC5" w14:textId="7B8526FA" w:rsidR="00EA41A0" w:rsidRPr="00816DDD" w:rsidRDefault="00EA41A0" w:rsidP="00106AF7">
            <w:pPr>
              <w:rPr>
                <w:sz w:val="20"/>
                <w:szCs w:val="20"/>
              </w:rPr>
            </w:pPr>
            <w:r w:rsidRPr="00816DDD">
              <w:rPr>
                <w:sz w:val="20"/>
                <w:szCs w:val="20"/>
              </w:rPr>
              <w:t>Initial/maintenance margins</w:t>
            </w:r>
          </w:p>
        </w:tc>
        <w:tc>
          <w:tcPr>
            <w:tcW w:w="6480" w:type="dxa"/>
            <w:vAlign w:val="center"/>
          </w:tcPr>
          <w:p w14:paraId="48F3EB8C" w14:textId="095DB850" w:rsidR="00EA41A0" w:rsidRPr="00816DDD" w:rsidRDefault="00390511" w:rsidP="00106AF7">
            <w:pPr>
              <w:rPr>
                <w:sz w:val="20"/>
                <w:szCs w:val="20"/>
              </w:rPr>
            </w:pPr>
            <w:r w:rsidRPr="00816DDD">
              <w:rPr>
                <w:sz w:val="20"/>
                <w:szCs w:val="20"/>
              </w:rPr>
              <w:t>Collateral require</w:t>
            </w:r>
            <w:r w:rsidR="00E31FE6" w:rsidRPr="00816DDD">
              <w:rPr>
                <w:sz w:val="20"/>
                <w:szCs w:val="20"/>
              </w:rPr>
              <w:t>d</w:t>
            </w:r>
          </w:p>
        </w:tc>
      </w:tr>
      <w:tr w:rsidR="00390511" w:rsidRPr="00816DDD" w14:paraId="52B0849A" w14:textId="77777777" w:rsidTr="00EA41A0">
        <w:tc>
          <w:tcPr>
            <w:tcW w:w="2970" w:type="dxa"/>
            <w:vAlign w:val="center"/>
          </w:tcPr>
          <w:p w14:paraId="0781C803" w14:textId="31304218" w:rsidR="00390511" w:rsidRPr="00816DDD" w:rsidRDefault="00390511" w:rsidP="00390511">
            <w:pPr>
              <w:rPr>
                <w:sz w:val="20"/>
                <w:szCs w:val="20"/>
              </w:rPr>
            </w:pPr>
            <w:r w:rsidRPr="00816DDD">
              <w:rPr>
                <w:sz w:val="20"/>
                <w:szCs w:val="20"/>
              </w:rPr>
              <w:t>Final settlement price</w:t>
            </w:r>
          </w:p>
        </w:tc>
        <w:tc>
          <w:tcPr>
            <w:tcW w:w="6480" w:type="dxa"/>
            <w:vAlign w:val="center"/>
          </w:tcPr>
          <w:p w14:paraId="18E2DFCD" w14:textId="4E4CB0B4" w:rsidR="00390511" w:rsidRPr="00816DDD" w:rsidRDefault="00390511" w:rsidP="00390511">
            <w:pPr>
              <w:rPr>
                <w:sz w:val="20"/>
                <w:szCs w:val="20"/>
              </w:rPr>
            </w:pPr>
            <w:r w:rsidRPr="00816DDD">
              <w:rPr>
                <w:sz w:val="20"/>
                <w:szCs w:val="20"/>
              </w:rPr>
              <w:t>Price at which the contract will be settled</w:t>
            </w:r>
            <w:r w:rsidR="00624EF2" w:rsidRPr="00816DDD">
              <w:rPr>
                <w:sz w:val="20"/>
                <w:szCs w:val="20"/>
              </w:rPr>
              <w:t xml:space="preserve"> at</w:t>
            </w:r>
            <w:r w:rsidRPr="00816DDD">
              <w:rPr>
                <w:sz w:val="20"/>
                <w:szCs w:val="20"/>
              </w:rPr>
              <w:t xml:space="preserve"> expiration</w:t>
            </w:r>
          </w:p>
        </w:tc>
      </w:tr>
      <w:tr w:rsidR="00816DDD" w:rsidRPr="00816DDD" w14:paraId="061BCB13" w14:textId="77777777" w:rsidTr="00EA41A0">
        <w:tc>
          <w:tcPr>
            <w:tcW w:w="2970" w:type="dxa"/>
            <w:vAlign w:val="center"/>
          </w:tcPr>
          <w:p w14:paraId="3A085C51" w14:textId="4719AAF3" w:rsidR="00390511" w:rsidRPr="00816DDD" w:rsidRDefault="00390511" w:rsidP="00390511">
            <w:pPr>
              <w:rPr>
                <w:rFonts w:eastAsia="Times New Roman"/>
                <w:spacing w:val="1"/>
                <w:sz w:val="20"/>
                <w:szCs w:val="20"/>
              </w:rPr>
            </w:pPr>
            <w:r w:rsidRPr="00816DDD">
              <w:rPr>
                <w:sz w:val="20"/>
                <w:szCs w:val="20"/>
              </w:rPr>
              <w:t>Delivery or expiration date</w:t>
            </w:r>
          </w:p>
        </w:tc>
        <w:tc>
          <w:tcPr>
            <w:tcW w:w="6480" w:type="dxa"/>
            <w:vAlign w:val="center"/>
          </w:tcPr>
          <w:p w14:paraId="6DCA5495" w14:textId="56A030DB" w:rsidR="00390511" w:rsidRPr="00816DDD" w:rsidRDefault="00390511" w:rsidP="00390511">
            <w:pPr>
              <w:rPr>
                <w:rFonts w:eastAsia="Times New Roman"/>
                <w:spacing w:val="1"/>
                <w:sz w:val="20"/>
                <w:szCs w:val="20"/>
              </w:rPr>
            </w:pPr>
            <w:r w:rsidRPr="00816DDD">
              <w:rPr>
                <w:sz w:val="20"/>
                <w:szCs w:val="20"/>
              </w:rPr>
              <w:t>Date of final settlement when the underlying asset is delivered or cash settlement is made</w:t>
            </w:r>
          </w:p>
        </w:tc>
      </w:tr>
      <w:tr w:rsidR="00390511" w:rsidRPr="00816DDD" w14:paraId="4CEAB90B" w14:textId="77777777" w:rsidTr="00EA41A0">
        <w:tc>
          <w:tcPr>
            <w:tcW w:w="2970" w:type="dxa"/>
            <w:vAlign w:val="center"/>
          </w:tcPr>
          <w:p w14:paraId="7748FA97" w14:textId="53F68DC4" w:rsidR="00390511" w:rsidRPr="00816DDD" w:rsidRDefault="00390511" w:rsidP="00390511">
            <w:pPr>
              <w:rPr>
                <w:sz w:val="20"/>
                <w:szCs w:val="20"/>
              </w:rPr>
            </w:pPr>
            <w:r w:rsidRPr="00816DDD">
              <w:rPr>
                <w:sz w:val="20"/>
                <w:szCs w:val="20"/>
              </w:rPr>
              <w:t>Delivery method</w:t>
            </w:r>
          </w:p>
        </w:tc>
        <w:tc>
          <w:tcPr>
            <w:tcW w:w="6480" w:type="dxa"/>
            <w:vAlign w:val="center"/>
          </w:tcPr>
          <w:p w14:paraId="45C26007" w14:textId="23B0843C" w:rsidR="00390511" w:rsidRPr="00816DDD" w:rsidRDefault="00390511" w:rsidP="00390511">
            <w:pPr>
              <w:rPr>
                <w:sz w:val="20"/>
                <w:szCs w:val="20"/>
              </w:rPr>
            </w:pPr>
            <w:r w:rsidRPr="00816DDD">
              <w:rPr>
                <w:sz w:val="20"/>
                <w:szCs w:val="20"/>
              </w:rPr>
              <w:t>Physical delivery or cash settlement</w:t>
            </w:r>
          </w:p>
        </w:tc>
      </w:tr>
      <w:tr w:rsidR="00816DDD" w:rsidRPr="00816DDD" w14:paraId="14933D4E" w14:textId="77777777" w:rsidTr="00EA41A0">
        <w:tc>
          <w:tcPr>
            <w:tcW w:w="2970" w:type="dxa"/>
            <w:vAlign w:val="center"/>
          </w:tcPr>
          <w:p w14:paraId="734A3D97" w14:textId="023CE440" w:rsidR="00390511" w:rsidRPr="00816DDD" w:rsidRDefault="00390511" w:rsidP="00390511">
            <w:pPr>
              <w:rPr>
                <w:rFonts w:eastAsia="Times New Roman"/>
                <w:spacing w:val="1"/>
                <w:sz w:val="20"/>
                <w:szCs w:val="20"/>
              </w:rPr>
            </w:pPr>
            <w:r w:rsidRPr="00BD6EBB">
              <w:rPr>
                <w:rFonts w:eastAsia="Times New Roman" w:hint="cs"/>
                <w:spacing w:val="1"/>
                <w:sz w:val="20"/>
                <w:szCs w:val="20"/>
              </w:rPr>
              <w:t>Open</w:t>
            </w:r>
          </w:p>
        </w:tc>
        <w:tc>
          <w:tcPr>
            <w:tcW w:w="6480" w:type="dxa"/>
            <w:vAlign w:val="center"/>
          </w:tcPr>
          <w:p w14:paraId="0229B1B6" w14:textId="5438E0C1" w:rsidR="00390511" w:rsidRPr="00816DDD" w:rsidRDefault="00390511" w:rsidP="00390511">
            <w:pPr>
              <w:rPr>
                <w:rFonts w:eastAsia="Times New Roman"/>
                <w:spacing w:val="1"/>
                <w:sz w:val="20"/>
                <w:szCs w:val="20"/>
              </w:rPr>
            </w:pPr>
            <w:r w:rsidRPr="00816DDD">
              <w:rPr>
                <w:rFonts w:eastAsia="Times New Roman"/>
                <w:spacing w:val="1"/>
                <w:sz w:val="20"/>
                <w:szCs w:val="20"/>
              </w:rPr>
              <w:t>P</w:t>
            </w:r>
            <w:r w:rsidRPr="00BD6EBB">
              <w:rPr>
                <w:rFonts w:eastAsia="Times New Roman" w:hint="cs"/>
                <w:spacing w:val="1"/>
                <w:sz w:val="20"/>
                <w:szCs w:val="20"/>
              </w:rPr>
              <w:t xml:space="preserve">rice of the first transaction </w:t>
            </w:r>
            <w:r w:rsidRPr="00816DDD">
              <w:rPr>
                <w:rFonts w:eastAsia="Times New Roman"/>
                <w:spacing w:val="1"/>
                <w:sz w:val="20"/>
                <w:szCs w:val="20"/>
              </w:rPr>
              <w:t>of the current trading session</w:t>
            </w:r>
          </w:p>
        </w:tc>
      </w:tr>
      <w:tr w:rsidR="00816DDD" w:rsidRPr="00816DDD" w14:paraId="05F7FBBA" w14:textId="77777777" w:rsidTr="00EA41A0">
        <w:tc>
          <w:tcPr>
            <w:tcW w:w="2970" w:type="dxa"/>
            <w:vAlign w:val="center"/>
          </w:tcPr>
          <w:p w14:paraId="6FA396ED" w14:textId="4F3600B9" w:rsidR="00390511" w:rsidRPr="00816DDD" w:rsidRDefault="00390511" w:rsidP="00390511">
            <w:pPr>
              <w:rPr>
                <w:rFonts w:eastAsia="Times New Roman"/>
                <w:spacing w:val="1"/>
                <w:sz w:val="20"/>
                <w:szCs w:val="20"/>
              </w:rPr>
            </w:pPr>
            <w:r w:rsidRPr="00BD6EBB">
              <w:rPr>
                <w:rFonts w:eastAsia="Times New Roman" w:hint="cs"/>
                <w:spacing w:val="1"/>
                <w:sz w:val="20"/>
                <w:szCs w:val="20"/>
              </w:rPr>
              <w:t>High</w:t>
            </w:r>
          </w:p>
        </w:tc>
        <w:tc>
          <w:tcPr>
            <w:tcW w:w="6480" w:type="dxa"/>
            <w:vAlign w:val="center"/>
          </w:tcPr>
          <w:p w14:paraId="71E1FEC7" w14:textId="251330AB" w:rsidR="00390511" w:rsidRPr="00816DDD" w:rsidRDefault="00390511" w:rsidP="00390511">
            <w:pPr>
              <w:rPr>
                <w:rFonts w:eastAsia="Times New Roman"/>
                <w:spacing w:val="1"/>
                <w:sz w:val="20"/>
                <w:szCs w:val="20"/>
              </w:rPr>
            </w:pPr>
            <w:r w:rsidRPr="00816DDD">
              <w:rPr>
                <w:rFonts w:eastAsia="Times New Roman"/>
                <w:spacing w:val="1"/>
                <w:sz w:val="20"/>
                <w:szCs w:val="20"/>
              </w:rPr>
              <w:t>H</w:t>
            </w:r>
            <w:r w:rsidRPr="00BD6EBB">
              <w:rPr>
                <w:rFonts w:eastAsia="Times New Roman" w:hint="cs"/>
                <w:spacing w:val="1"/>
                <w:sz w:val="20"/>
                <w:szCs w:val="20"/>
              </w:rPr>
              <w:t xml:space="preserve">igh price </w:t>
            </w:r>
            <w:r w:rsidRPr="00816DDD">
              <w:rPr>
                <w:rFonts w:eastAsia="Times New Roman"/>
                <w:spacing w:val="1"/>
                <w:sz w:val="20"/>
                <w:szCs w:val="20"/>
              </w:rPr>
              <w:t>of the current trading session</w:t>
            </w:r>
          </w:p>
        </w:tc>
      </w:tr>
      <w:tr w:rsidR="00816DDD" w:rsidRPr="00816DDD" w14:paraId="67A40A1B" w14:textId="77777777" w:rsidTr="00EA41A0">
        <w:tc>
          <w:tcPr>
            <w:tcW w:w="2970" w:type="dxa"/>
            <w:vAlign w:val="center"/>
          </w:tcPr>
          <w:p w14:paraId="1580C38C" w14:textId="5023CC51" w:rsidR="00390511" w:rsidRPr="00816DDD" w:rsidRDefault="00390511" w:rsidP="00390511">
            <w:pPr>
              <w:rPr>
                <w:rFonts w:eastAsia="Times New Roman"/>
                <w:spacing w:val="1"/>
                <w:sz w:val="20"/>
                <w:szCs w:val="20"/>
              </w:rPr>
            </w:pPr>
            <w:r w:rsidRPr="00BD6EBB">
              <w:rPr>
                <w:rFonts w:eastAsia="Times New Roman" w:hint="cs"/>
                <w:spacing w:val="1"/>
                <w:sz w:val="20"/>
                <w:szCs w:val="20"/>
              </w:rPr>
              <w:t>Low</w:t>
            </w:r>
          </w:p>
        </w:tc>
        <w:tc>
          <w:tcPr>
            <w:tcW w:w="6480" w:type="dxa"/>
            <w:vAlign w:val="center"/>
          </w:tcPr>
          <w:p w14:paraId="07DA9573" w14:textId="6C3EE0D1" w:rsidR="00390511" w:rsidRPr="00816DDD" w:rsidRDefault="00390511" w:rsidP="00390511">
            <w:pPr>
              <w:rPr>
                <w:rFonts w:eastAsia="Times New Roman"/>
                <w:spacing w:val="1"/>
                <w:sz w:val="20"/>
                <w:szCs w:val="20"/>
              </w:rPr>
            </w:pPr>
            <w:r w:rsidRPr="00816DDD">
              <w:rPr>
                <w:rFonts w:eastAsia="Times New Roman"/>
                <w:spacing w:val="1"/>
                <w:sz w:val="20"/>
                <w:szCs w:val="20"/>
              </w:rPr>
              <w:t>L</w:t>
            </w:r>
            <w:r w:rsidRPr="00BD6EBB">
              <w:rPr>
                <w:rFonts w:eastAsia="Times New Roman" w:hint="cs"/>
                <w:spacing w:val="1"/>
                <w:sz w:val="20"/>
                <w:szCs w:val="20"/>
              </w:rPr>
              <w:t xml:space="preserve">ow price </w:t>
            </w:r>
            <w:r w:rsidRPr="00816DDD">
              <w:rPr>
                <w:rFonts w:eastAsia="Times New Roman"/>
                <w:spacing w:val="1"/>
                <w:sz w:val="20"/>
                <w:szCs w:val="20"/>
              </w:rPr>
              <w:t xml:space="preserve">of the current trading </w:t>
            </w:r>
            <w:r w:rsidRPr="00BD6EBB">
              <w:rPr>
                <w:rFonts w:eastAsia="Times New Roman" w:hint="cs"/>
                <w:spacing w:val="1"/>
                <w:sz w:val="20"/>
                <w:szCs w:val="20"/>
              </w:rPr>
              <w:t>session</w:t>
            </w:r>
          </w:p>
        </w:tc>
      </w:tr>
      <w:tr w:rsidR="00816DDD" w:rsidRPr="00816DDD" w14:paraId="6C35A43E" w14:textId="77777777" w:rsidTr="00EA41A0">
        <w:tc>
          <w:tcPr>
            <w:tcW w:w="2970" w:type="dxa"/>
            <w:vAlign w:val="center"/>
          </w:tcPr>
          <w:p w14:paraId="1B24A9E4" w14:textId="795A56D8" w:rsidR="00390511" w:rsidRPr="00816DDD" w:rsidRDefault="00390511" w:rsidP="00390511">
            <w:pPr>
              <w:rPr>
                <w:rFonts w:eastAsia="Times New Roman"/>
                <w:spacing w:val="1"/>
                <w:sz w:val="20"/>
                <w:szCs w:val="20"/>
              </w:rPr>
            </w:pPr>
            <w:r w:rsidRPr="00816DDD">
              <w:rPr>
                <w:rFonts w:eastAsia="Times New Roman"/>
                <w:spacing w:val="1"/>
                <w:sz w:val="20"/>
                <w:szCs w:val="20"/>
              </w:rPr>
              <w:t>Close or settle</w:t>
            </w:r>
            <w:r w:rsidR="00F330E4" w:rsidRPr="00816DDD">
              <w:rPr>
                <w:rFonts w:eastAsia="Times New Roman"/>
                <w:spacing w:val="1"/>
                <w:sz w:val="20"/>
                <w:szCs w:val="20"/>
              </w:rPr>
              <w:t>ment price</w:t>
            </w:r>
          </w:p>
        </w:tc>
        <w:tc>
          <w:tcPr>
            <w:tcW w:w="6480" w:type="dxa"/>
            <w:vAlign w:val="center"/>
          </w:tcPr>
          <w:p w14:paraId="689661DF" w14:textId="4343A3D1" w:rsidR="00390511" w:rsidRPr="00816DDD" w:rsidRDefault="00390511" w:rsidP="00390511">
            <w:pPr>
              <w:rPr>
                <w:rFonts w:eastAsia="Times New Roman"/>
                <w:spacing w:val="1"/>
                <w:sz w:val="20"/>
                <w:szCs w:val="20"/>
              </w:rPr>
            </w:pPr>
            <w:r w:rsidRPr="00816DDD">
              <w:rPr>
                <w:rFonts w:eastAsia="Times New Roman"/>
                <w:spacing w:val="1"/>
                <w:sz w:val="20"/>
                <w:szCs w:val="20"/>
              </w:rPr>
              <w:t>Closing</w:t>
            </w:r>
            <w:r w:rsidRPr="00BD6EBB">
              <w:rPr>
                <w:rFonts w:eastAsia="Times New Roman" w:hint="cs"/>
                <w:spacing w:val="1"/>
                <w:sz w:val="20"/>
                <w:szCs w:val="20"/>
              </w:rPr>
              <w:t> </w:t>
            </w:r>
            <w:r w:rsidRPr="00816DDD">
              <w:rPr>
                <w:rFonts w:eastAsia="Times New Roman"/>
                <w:spacing w:val="1"/>
                <w:sz w:val="20"/>
                <w:szCs w:val="20"/>
              </w:rPr>
              <w:t>price of the current trading session</w:t>
            </w:r>
          </w:p>
        </w:tc>
      </w:tr>
      <w:tr w:rsidR="00646A2D" w:rsidRPr="00816DDD" w14:paraId="3965ECAE" w14:textId="77777777" w:rsidTr="00EA41A0">
        <w:tc>
          <w:tcPr>
            <w:tcW w:w="2970" w:type="dxa"/>
            <w:vAlign w:val="center"/>
          </w:tcPr>
          <w:p w14:paraId="0AAC936D" w14:textId="59B9D801" w:rsidR="00646A2D" w:rsidRPr="00816DDD" w:rsidRDefault="00646A2D" w:rsidP="00390511">
            <w:pPr>
              <w:rPr>
                <w:rFonts w:eastAsia="Times New Roman"/>
                <w:spacing w:val="1"/>
                <w:sz w:val="20"/>
                <w:szCs w:val="20"/>
              </w:rPr>
            </w:pPr>
            <w:r w:rsidRPr="00816DDD">
              <w:rPr>
                <w:rFonts w:eastAsia="Times New Roman"/>
                <w:spacing w:val="1"/>
                <w:sz w:val="20"/>
                <w:szCs w:val="20"/>
              </w:rPr>
              <w:t>Last</w:t>
            </w:r>
          </w:p>
        </w:tc>
        <w:tc>
          <w:tcPr>
            <w:tcW w:w="6480" w:type="dxa"/>
            <w:vAlign w:val="center"/>
          </w:tcPr>
          <w:p w14:paraId="19A06596" w14:textId="37CE1309" w:rsidR="00646A2D" w:rsidRPr="00816DDD" w:rsidRDefault="00E71DA6" w:rsidP="00390511">
            <w:pPr>
              <w:rPr>
                <w:rFonts w:eastAsia="Times New Roman"/>
                <w:spacing w:val="1"/>
                <w:sz w:val="20"/>
                <w:szCs w:val="20"/>
              </w:rPr>
            </w:pPr>
            <w:r w:rsidRPr="00816DDD">
              <w:rPr>
                <w:rFonts w:eastAsia="Times New Roman"/>
                <w:spacing w:val="1"/>
                <w:sz w:val="20"/>
                <w:szCs w:val="20"/>
              </w:rPr>
              <w:t xml:space="preserve">Most recent </w:t>
            </w:r>
            <w:r w:rsidR="00646A2D" w:rsidRPr="00816DDD">
              <w:rPr>
                <w:rFonts w:eastAsia="Times New Roman"/>
                <w:spacing w:val="1"/>
                <w:sz w:val="20"/>
                <w:szCs w:val="20"/>
              </w:rPr>
              <w:t>transaction of the current trading session</w:t>
            </w:r>
          </w:p>
        </w:tc>
      </w:tr>
      <w:tr w:rsidR="00816DDD" w:rsidRPr="00816DDD" w14:paraId="692FC1CC" w14:textId="77777777" w:rsidTr="00EA41A0">
        <w:tc>
          <w:tcPr>
            <w:tcW w:w="2970" w:type="dxa"/>
            <w:vAlign w:val="center"/>
          </w:tcPr>
          <w:p w14:paraId="60EABE81" w14:textId="4C0DF239" w:rsidR="00390511" w:rsidRPr="00816DDD" w:rsidRDefault="00390511" w:rsidP="00390511">
            <w:pPr>
              <w:rPr>
                <w:rFonts w:eastAsia="Times New Roman"/>
                <w:spacing w:val="1"/>
                <w:sz w:val="20"/>
                <w:szCs w:val="20"/>
              </w:rPr>
            </w:pPr>
            <w:r w:rsidRPr="00BD6EBB">
              <w:rPr>
                <w:rFonts w:eastAsia="Times New Roman" w:hint="cs"/>
                <w:spacing w:val="1"/>
                <w:sz w:val="20"/>
                <w:szCs w:val="20"/>
              </w:rPr>
              <w:t>Change</w:t>
            </w:r>
          </w:p>
        </w:tc>
        <w:tc>
          <w:tcPr>
            <w:tcW w:w="6480" w:type="dxa"/>
            <w:vAlign w:val="center"/>
          </w:tcPr>
          <w:p w14:paraId="289B4EEE" w14:textId="2C3A43B4" w:rsidR="00390511" w:rsidRPr="00816DDD" w:rsidRDefault="00390511" w:rsidP="00390511">
            <w:pPr>
              <w:rPr>
                <w:rFonts w:eastAsia="Times New Roman"/>
                <w:spacing w:val="1"/>
                <w:sz w:val="20"/>
                <w:szCs w:val="20"/>
              </w:rPr>
            </w:pPr>
            <w:r w:rsidRPr="00816DDD">
              <w:rPr>
                <w:rFonts w:eastAsia="Times New Roman"/>
                <w:spacing w:val="1"/>
                <w:sz w:val="20"/>
                <w:szCs w:val="20"/>
              </w:rPr>
              <w:t xml:space="preserve">Change </w:t>
            </w:r>
            <w:r w:rsidR="00646A2D" w:rsidRPr="00816DDD">
              <w:rPr>
                <w:rFonts w:eastAsia="Times New Roman"/>
                <w:spacing w:val="1"/>
                <w:sz w:val="20"/>
                <w:szCs w:val="20"/>
              </w:rPr>
              <w:t xml:space="preserve">in the closing price </w:t>
            </w:r>
            <w:r w:rsidRPr="00816DDD">
              <w:rPr>
                <w:rFonts w:eastAsia="Times New Roman"/>
                <w:spacing w:val="1"/>
                <w:sz w:val="20"/>
                <w:szCs w:val="20"/>
              </w:rPr>
              <w:t xml:space="preserve">of the current and previous trading sessions </w:t>
            </w:r>
            <w:r w:rsidR="00624EF2" w:rsidRPr="00816DDD">
              <w:rPr>
                <w:rFonts w:eastAsia="Times New Roman"/>
                <w:spacing w:val="1"/>
                <w:sz w:val="20"/>
                <w:szCs w:val="20"/>
              </w:rPr>
              <w:t xml:space="preserve">given </w:t>
            </w:r>
            <w:r w:rsidRPr="00816DDD">
              <w:rPr>
                <w:rFonts w:eastAsia="Times New Roman"/>
                <w:spacing w:val="1"/>
                <w:sz w:val="20"/>
                <w:szCs w:val="20"/>
              </w:rPr>
              <w:t xml:space="preserve">as an absolute amount or </w:t>
            </w:r>
            <w:r w:rsidR="00E31FE6" w:rsidRPr="00816DDD">
              <w:rPr>
                <w:rFonts w:eastAsia="Times New Roman"/>
                <w:spacing w:val="1"/>
                <w:sz w:val="20"/>
                <w:szCs w:val="20"/>
              </w:rPr>
              <w:t xml:space="preserve">as </w:t>
            </w:r>
            <w:r w:rsidRPr="00816DDD">
              <w:rPr>
                <w:rFonts w:eastAsia="Times New Roman"/>
                <w:spacing w:val="1"/>
                <w:sz w:val="20"/>
                <w:szCs w:val="20"/>
              </w:rPr>
              <w:t>a percentage</w:t>
            </w:r>
            <w:r w:rsidR="00646A2D" w:rsidRPr="00816DDD">
              <w:rPr>
                <w:rFonts w:eastAsia="Times New Roman"/>
                <w:spacing w:val="1"/>
                <w:sz w:val="20"/>
                <w:szCs w:val="20"/>
              </w:rPr>
              <w:t>.  If trading is live, it is the change between the last price of the current trading session and the closing price of the previous trading session.</w:t>
            </w:r>
          </w:p>
        </w:tc>
      </w:tr>
      <w:tr w:rsidR="00816DDD" w:rsidRPr="00816DDD" w14:paraId="19A534CD" w14:textId="77777777" w:rsidTr="00EA41A0">
        <w:tc>
          <w:tcPr>
            <w:tcW w:w="2970" w:type="dxa"/>
            <w:vAlign w:val="center"/>
          </w:tcPr>
          <w:p w14:paraId="682A97EF" w14:textId="1669625E" w:rsidR="00390511" w:rsidRPr="00816DDD" w:rsidRDefault="00390511" w:rsidP="00390511">
            <w:pPr>
              <w:rPr>
                <w:rFonts w:eastAsia="Times New Roman"/>
                <w:spacing w:val="1"/>
                <w:sz w:val="20"/>
                <w:szCs w:val="20"/>
              </w:rPr>
            </w:pPr>
            <w:r w:rsidRPr="00BD6EBB">
              <w:rPr>
                <w:rFonts w:eastAsia="Times New Roman" w:hint="cs"/>
                <w:spacing w:val="1"/>
                <w:sz w:val="20"/>
                <w:szCs w:val="20"/>
              </w:rPr>
              <w:t>52-Week High/Low</w:t>
            </w:r>
          </w:p>
        </w:tc>
        <w:tc>
          <w:tcPr>
            <w:tcW w:w="6480" w:type="dxa"/>
            <w:vAlign w:val="center"/>
          </w:tcPr>
          <w:p w14:paraId="45138A16" w14:textId="6593C4AA" w:rsidR="00390511" w:rsidRPr="00816DDD" w:rsidRDefault="00390511" w:rsidP="00390511">
            <w:pPr>
              <w:rPr>
                <w:rFonts w:eastAsia="Times New Roman"/>
                <w:spacing w:val="1"/>
                <w:sz w:val="20"/>
                <w:szCs w:val="20"/>
              </w:rPr>
            </w:pPr>
            <w:r w:rsidRPr="00816DDD">
              <w:rPr>
                <w:rFonts w:eastAsia="Times New Roman"/>
                <w:spacing w:val="1"/>
                <w:sz w:val="20"/>
                <w:szCs w:val="20"/>
              </w:rPr>
              <w:t>H</w:t>
            </w:r>
            <w:r w:rsidRPr="00BD6EBB">
              <w:rPr>
                <w:rFonts w:eastAsia="Times New Roman" w:hint="cs"/>
                <w:spacing w:val="1"/>
                <w:sz w:val="20"/>
                <w:szCs w:val="20"/>
              </w:rPr>
              <w:t>igh</w:t>
            </w:r>
            <w:r w:rsidRPr="00816DDD">
              <w:rPr>
                <w:rFonts w:eastAsia="Times New Roman"/>
                <w:spacing w:val="1"/>
                <w:sz w:val="20"/>
                <w:szCs w:val="20"/>
              </w:rPr>
              <w:t>est</w:t>
            </w:r>
            <w:r w:rsidRPr="00BD6EBB">
              <w:rPr>
                <w:rFonts w:eastAsia="Times New Roman" w:hint="cs"/>
                <w:spacing w:val="1"/>
                <w:sz w:val="20"/>
                <w:szCs w:val="20"/>
              </w:rPr>
              <w:t xml:space="preserve"> and lowest prices in the last year</w:t>
            </w:r>
          </w:p>
        </w:tc>
      </w:tr>
      <w:tr w:rsidR="00816DDD" w:rsidRPr="00816DDD" w14:paraId="615D7755" w14:textId="77777777" w:rsidTr="00EA41A0">
        <w:tc>
          <w:tcPr>
            <w:tcW w:w="2970" w:type="dxa"/>
            <w:vAlign w:val="center"/>
          </w:tcPr>
          <w:p w14:paraId="71E768E6" w14:textId="455C773D" w:rsidR="00390511" w:rsidRPr="00816DDD" w:rsidRDefault="00390511" w:rsidP="00390511">
            <w:pPr>
              <w:rPr>
                <w:rFonts w:eastAsia="Times New Roman"/>
                <w:spacing w:val="1"/>
                <w:sz w:val="20"/>
                <w:szCs w:val="20"/>
              </w:rPr>
            </w:pPr>
            <w:r w:rsidRPr="00BD6EBB">
              <w:rPr>
                <w:rFonts w:eastAsia="Times New Roman" w:hint="cs"/>
                <w:spacing w:val="1"/>
                <w:sz w:val="20"/>
                <w:szCs w:val="20"/>
              </w:rPr>
              <w:t>Volume</w:t>
            </w:r>
            <w:r w:rsidRPr="00816DDD">
              <w:rPr>
                <w:rFonts w:eastAsia="Times New Roman" w:hint="cs"/>
                <w:spacing w:val="1"/>
                <w:sz w:val="20"/>
                <w:szCs w:val="20"/>
              </w:rPr>
              <w:t xml:space="preserve"> </w:t>
            </w:r>
          </w:p>
        </w:tc>
        <w:tc>
          <w:tcPr>
            <w:tcW w:w="6480" w:type="dxa"/>
            <w:vAlign w:val="center"/>
          </w:tcPr>
          <w:p w14:paraId="55B023E2" w14:textId="68DC0260" w:rsidR="00390511" w:rsidRPr="00816DDD" w:rsidRDefault="00390511" w:rsidP="00390511">
            <w:pPr>
              <w:rPr>
                <w:rFonts w:eastAsia="Times New Roman"/>
                <w:spacing w:val="1"/>
                <w:sz w:val="20"/>
                <w:szCs w:val="20"/>
              </w:rPr>
            </w:pPr>
            <w:r w:rsidRPr="00816DDD">
              <w:rPr>
                <w:rFonts w:eastAsia="Times New Roman"/>
                <w:spacing w:val="1"/>
                <w:sz w:val="20"/>
                <w:szCs w:val="20"/>
              </w:rPr>
              <w:t>N</w:t>
            </w:r>
            <w:r w:rsidRPr="00BD6EBB">
              <w:rPr>
                <w:rFonts w:eastAsia="Times New Roman" w:hint="cs"/>
                <w:spacing w:val="1"/>
                <w:sz w:val="20"/>
                <w:szCs w:val="20"/>
              </w:rPr>
              <w:t xml:space="preserve">umber of contracts </w:t>
            </w:r>
            <w:r w:rsidRPr="00816DDD">
              <w:rPr>
                <w:rFonts w:eastAsia="Times New Roman"/>
                <w:spacing w:val="1"/>
                <w:sz w:val="20"/>
                <w:szCs w:val="20"/>
              </w:rPr>
              <w:t xml:space="preserve">traded </w:t>
            </w:r>
            <w:r w:rsidRPr="00BD6EBB">
              <w:rPr>
                <w:rFonts w:eastAsia="Times New Roman" w:hint="cs"/>
                <w:spacing w:val="1"/>
                <w:sz w:val="20"/>
                <w:szCs w:val="20"/>
              </w:rPr>
              <w:t xml:space="preserve">during the </w:t>
            </w:r>
            <w:r w:rsidRPr="00816DDD">
              <w:rPr>
                <w:rFonts w:eastAsia="Times New Roman"/>
                <w:spacing w:val="1"/>
                <w:sz w:val="20"/>
                <w:szCs w:val="20"/>
              </w:rPr>
              <w:t xml:space="preserve">current trading </w:t>
            </w:r>
            <w:r w:rsidRPr="00BD6EBB">
              <w:rPr>
                <w:rFonts w:eastAsia="Times New Roman" w:hint="cs"/>
                <w:spacing w:val="1"/>
                <w:sz w:val="20"/>
                <w:szCs w:val="20"/>
              </w:rPr>
              <w:t>session</w:t>
            </w:r>
          </w:p>
        </w:tc>
      </w:tr>
      <w:tr w:rsidR="00816DDD" w:rsidRPr="00816DDD" w14:paraId="69B2C504" w14:textId="77777777" w:rsidTr="00051A88">
        <w:trPr>
          <w:trHeight w:val="60"/>
        </w:trPr>
        <w:tc>
          <w:tcPr>
            <w:tcW w:w="2970" w:type="dxa"/>
            <w:vAlign w:val="center"/>
          </w:tcPr>
          <w:p w14:paraId="59B7D6BD" w14:textId="07574BA9" w:rsidR="00390511" w:rsidRPr="00816DDD" w:rsidRDefault="00390511" w:rsidP="00390511">
            <w:pPr>
              <w:rPr>
                <w:rFonts w:eastAsia="Times New Roman"/>
                <w:spacing w:val="1"/>
                <w:sz w:val="20"/>
                <w:szCs w:val="20"/>
              </w:rPr>
            </w:pPr>
            <w:r w:rsidRPr="00BD6EBB">
              <w:rPr>
                <w:rFonts w:eastAsia="Times New Roman" w:hint="cs"/>
                <w:spacing w:val="1"/>
                <w:sz w:val="20"/>
                <w:szCs w:val="20"/>
              </w:rPr>
              <w:t>Open Interest</w:t>
            </w:r>
          </w:p>
        </w:tc>
        <w:tc>
          <w:tcPr>
            <w:tcW w:w="6480" w:type="dxa"/>
            <w:vAlign w:val="center"/>
          </w:tcPr>
          <w:p w14:paraId="7CB5E8D9" w14:textId="41E35329" w:rsidR="00390511" w:rsidRPr="00816DDD" w:rsidRDefault="00390511" w:rsidP="00390511">
            <w:pPr>
              <w:rPr>
                <w:rFonts w:eastAsia="Times New Roman"/>
                <w:spacing w:val="1"/>
                <w:sz w:val="20"/>
                <w:szCs w:val="20"/>
              </w:rPr>
            </w:pPr>
            <w:r w:rsidRPr="00816DDD">
              <w:rPr>
                <w:rFonts w:eastAsia="Times New Roman"/>
                <w:spacing w:val="1"/>
                <w:sz w:val="20"/>
                <w:szCs w:val="20"/>
              </w:rPr>
              <w:t>N</w:t>
            </w:r>
            <w:r w:rsidRPr="00BD6EBB">
              <w:rPr>
                <w:rFonts w:eastAsia="Times New Roman" w:hint="cs"/>
                <w:spacing w:val="1"/>
                <w:sz w:val="20"/>
                <w:szCs w:val="20"/>
              </w:rPr>
              <w:t>umber of outstanding contracts</w:t>
            </w:r>
          </w:p>
        </w:tc>
      </w:tr>
    </w:tbl>
    <w:p w14:paraId="1ECBB7FC" w14:textId="21D64743" w:rsidR="00D52A54" w:rsidRPr="00816DDD" w:rsidRDefault="00D52A54" w:rsidP="00B17F71">
      <w:pPr>
        <w:shd w:val="clear" w:color="auto" w:fill="FFFFFF"/>
        <w:spacing w:after="0" w:line="240" w:lineRule="auto"/>
        <w:rPr>
          <w:spacing w:val="7"/>
          <w:shd w:val="clear" w:color="auto" w:fill="FFFFFF"/>
        </w:rPr>
      </w:pPr>
    </w:p>
    <w:p w14:paraId="56005C4D" w14:textId="36DED4AE" w:rsidR="0080690A" w:rsidRPr="00816DDD" w:rsidRDefault="00152D04" w:rsidP="0051511B">
      <w:pPr>
        <w:shd w:val="clear" w:color="auto" w:fill="FFFFFF"/>
        <w:spacing w:after="0" w:line="240" w:lineRule="auto"/>
        <w:ind w:right="-306"/>
        <w:rPr>
          <w:spacing w:val="7"/>
          <w:shd w:val="clear" w:color="auto" w:fill="FFFFFF"/>
        </w:rPr>
      </w:pPr>
      <w:r w:rsidRPr="00816DDD">
        <w:rPr>
          <w:spacing w:val="7"/>
          <w:shd w:val="clear" w:color="auto" w:fill="FFFFFF"/>
        </w:rPr>
        <w:t xml:space="preserve">Futures contracts </w:t>
      </w:r>
      <w:proofErr w:type="gramStart"/>
      <w:r w:rsidRPr="00816DDD">
        <w:rPr>
          <w:spacing w:val="7"/>
          <w:shd w:val="clear" w:color="auto" w:fill="FFFFFF"/>
        </w:rPr>
        <w:t>have</w:t>
      </w:r>
      <w:proofErr w:type="gramEnd"/>
      <w:r w:rsidRPr="00816DDD">
        <w:rPr>
          <w:spacing w:val="7"/>
          <w:shd w:val="clear" w:color="auto" w:fill="FFFFFF"/>
        </w:rPr>
        <w:t xml:space="preserve"> a standard size</w:t>
      </w:r>
      <w:r w:rsidR="00D235B9">
        <w:rPr>
          <w:spacing w:val="7"/>
          <w:shd w:val="clear" w:color="auto" w:fill="FFFFFF"/>
        </w:rPr>
        <w:t>,</w:t>
      </w:r>
      <w:r w:rsidRPr="00816DDD">
        <w:rPr>
          <w:spacing w:val="7"/>
          <w:shd w:val="clear" w:color="auto" w:fill="FFFFFF"/>
        </w:rPr>
        <w:t xml:space="preserve"> such as 1,000 barrels</w:t>
      </w:r>
      <w:r w:rsidR="00D235B9">
        <w:rPr>
          <w:spacing w:val="7"/>
          <w:shd w:val="clear" w:color="auto" w:fill="FFFFFF"/>
        </w:rPr>
        <w:t>,</w:t>
      </w:r>
      <w:r w:rsidRPr="00816DDD">
        <w:rPr>
          <w:spacing w:val="7"/>
          <w:shd w:val="clear" w:color="auto" w:fill="FFFFFF"/>
        </w:rPr>
        <w:t xml:space="preserve"> </w:t>
      </w:r>
      <w:r w:rsidR="00E31FE6" w:rsidRPr="00816DDD">
        <w:rPr>
          <w:spacing w:val="7"/>
          <w:shd w:val="clear" w:color="auto" w:fill="FFFFFF"/>
        </w:rPr>
        <w:t xml:space="preserve">but </w:t>
      </w:r>
      <w:r w:rsidR="0060451F" w:rsidRPr="00816DDD">
        <w:rPr>
          <w:spacing w:val="7"/>
          <w:shd w:val="clear" w:color="auto" w:fill="FFFFFF"/>
        </w:rPr>
        <w:t xml:space="preserve">smaller </w:t>
      </w:r>
      <w:r w:rsidRPr="00816DDD">
        <w:rPr>
          <w:spacing w:val="7"/>
          <w:shd w:val="clear" w:color="auto" w:fill="FFFFFF"/>
        </w:rPr>
        <w:t>mic</w:t>
      </w:r>
      <w:r w:rsidR="0060451F" w:rsidRPr="00816DDD">
        <w:rPr>
          <w:spacing w:val="7"/>
          <w:shd w:val="clear" w:color="auto" w:fill="FFFFFF"/>
        </w:rPr>
        <w:t>ro and mini versions</w:t>
      </w:r>
      <w:r w:rsidR="00624EF2" w:rsidRPr="00816DDD">
        <w:rPr>
          <w:spacing w:val="7"/>
          <w:shd w:val="clear" w:color="auto" w:fill="FFFFFF"/>
        </w:rPr>
        <w:t xml:space="preserve"> of the same contract </w:t>
      </w:r>
      <w:r w:rsidR="0060451F" w:rsidRPr="00816DDD">
        <w:rPr>
          <w:spacing w:val="7"/>
          <w:shd w:val="clear" w:color="auto" w:fill="FFFFFF"/>
        </w:rPr>
        <w:t xml:space="preserve">are sometimes </w:t>
      </w:r>
      <w:r w:rsidR="00CB79E2" w:rsidRPr="00816DDD">
        <w:rPr>
          <w:spacing w:val="7"/>
          <w:shd w:val="clear" w:color="auto" w:fill="FFFFFF"/>
        </w:rPr>
        <w:t xml:space="preserve">available for </w:t>
      </w:r>
      <w:r w:rsidR="00CB7F7F" w:rsidRPr="00816DDD">
        <w:rPr>
          <w:spacing w:val="7"/>
          <w:shd w:val="clear" w:color="auto" w:fill="FFFFFF"/>
        </w:rPr>
        <w:t xml:space="preserve">smaller </w:t>
      </w:r>
      <w:r w:rsidR="0060451F" w:rsidRPr="00816DDD">
        <w:rPr>
          <w:spacing w:val="7"/>
          <w:shd w:val="clear" w:color="auto" w:fill="FFFFFF"/>
        </w:rPr>
        <w:t xml:space="preserve">investors.  Each contract has </w:t>
      </w:r>
      <w:r w:rsidR="00AE054F" w:rsidRPr="00816DDD">
        <w:rPr>
          <w:spacing w:val="7"/>
          <w:shd w:val="clear" w:color="auto" w:fill="FFFFFF"/>
        </w:rPr>
        <w:t>a minimum</w:t>
      </w:r>
      <w:r w:rsidR="00F7326B" w:rsidRPr="00816DDD">
        <w:rPr>
          <w:spacing w:val="7"/>
          <w:shd w:val="clear" w:color="auto" w:fill="FFFFFF"/>
        </w:rPr>
        <w:t xml:space="preserve"> </w:t>
      </w:r>
      <w:r w:rsidR="00AE054F" w:rsidRPr="00816DDD">
        <w:rPr>
          <w:spacing w:val="7"/>
          <w:shd w:val="clear" w:color="auto" w:fill="FFFFFF"/>
        </w:rPr>
        <w:t xml:space="preserve">price fluctuation called </w:t>
      </w:r>
      <w:r w:rsidR="00E31FE6" w:rsidRPr="00816DDD">
        <w:rPr>
          <w:spacing w:val="7"/>
          <w:shd w:val="clear" w:color="auto" w:fill="FFFFFF"/>
        </w:rPr>
        <w:t>a</w:t>
      </w:r>
      <w:r w:rsidR="008A5F8A" w:rsidRPr="00816DDD">
        <w:rPr>
          <w:spacing w:val="7"/>
          <w:shd w:val="clear" w:color="auto" w:fill="FFFFFF"/>
        </w:rPr>
        <w:t xml:space="preserve"> minimum </w:t>
      </w:r>
      <w:r w:rsidR="00051A88" w:rsidRPr="00816DDD">
        <w:rPr>
          <w:spacing w:val="7"/>
          <w:shd w:val="clear" w:color="auto" w:fill="FFFFFF"/>
        </w:rPr>
        <w:t>t</w:t>
      </w:r>
      <w:r w:rsidR="00A77824" w:rsidRPr="00816DDD">
        <w:rPr>
          <w:rFonts w:hint="cs"/>
          <w:spacing w:val="7"/>
          <w:shd w:val="clear" w:color="auto" w:fill="FFFFFF"/>
        </w:rPr>
        <w:t>ick</w:t>
      </w:r>
      <w:r w:rsidR="00280155" w:rsidRPr="00816DDD">
        <w:rPr>
          <w:spacing w:val="7"/>
          <w:shd w:val="clear" w:color="auto" w:fill="FFFFFF"/>
        </w:rPr>
        <w:t>.</w:t>
      </w:r>
      <w:r w:rsidR="0060451F" w:rsidRPr="00816DDD">
        <w:rPr>
          <w:spacing w:val="7"/>
          <w:shd w:val="clear" w:color="auto" w:fill="FFFFFF"/>
        </w:rPr>
        <w:t xml:space="preserve">  Ticks </w:t>
      </w:r>
      <w:r w:rsidR="00280155" w:rsidRPr="00816DDD">
        <w:rPr>
          <w:spacing w:val="7"/>
          <w:shd w:val="clear" w:color="auto" w:fill="FFFFFF"/>
        </w:rPr>
        <w:t>are set by the</w:t>
      </w:r>
      <w:r w:rsidR="00A77824" w:rsidRPr="00816DDD">
        <w:rPr>
          <w:rFonts w:hint="cs"/>
          <w:spacing w:val="7"/>
          <w:shd w:val="clear" w:color="auto" w:fill="FFFFFF"/>
        </w:rPr>
        <w:t xml:space="preserve"> exchange</w:t>
      </w:r>
      <w:r w:rsidR="00CB79E2" w:rsidRPr="00816DDD">
        <w:rPr>
          <w:spacing w:val="7"/>
          <w:shd w:val="clear" w:color="auto" w:fill="FFFFFF"/>
        </w:rPr>
        <w:t>s</w:t>
      </w:r>
      <w:r w:rsidR="00A77824" w:rsidRPr="00816DDD">
        <w:rPr>
          <w:rFonts w:hint="cs"/>
          <w:spacing w:val="7"/>
          <w:shd w:val="clear" w:color="auto" w:fill="FFFFFF"/>
        </w:rPr>
        <w:t xml:space="preserve"> and vary depending on the </w:t>
      </w:r>
      <w:r w:rsidR="00280155" w:rsidRPr="00816DDD">
        <w:rPr>
          <w:spacing w:val="7"/>
          <w:shd w:val="clear" w:color="auto" w:fill="FFFFFF"/>
        </w:rPr>
        <w:t xml:space="preserve">type and </w:t>
      </w:r>
      <w:r w:rsidR="00A77824" w:rsidRPr="00816DDD">
        <w:rPr>
          <w:rFonts w:hint="cs"/>
          <w:spacing w:val="7"/>
          <w:shd w:val="clear" w:color="auto" w:fill="FFFFFF"/>
        </w:rPr>
        <w:t>size of the</w:t>
      </w:r>
      <w:r w:rsidR="00280155" w:rsidRPr="00816DDD">
        <w:rPr>
          <w:spacing w:val="7"/>
          <w:shd w:val="clear" w:color="auto" w:fill="FFFFFF"/>
        </w:rPr>
        <w:t xml:space="preserve"> contract </w:t>
      </w:r>
      <w:r w:rsidR="00A77824" w:rsidRPr="00816DDD">
        <w:rPr>
          <w:rFonts w:hint="cs"/>
          <w:spacing w:val="7"/>
          <w:shd w:val="clear" w:color="auto" w:fill="FFFFFF"/>
        </w:rPr>
        <w:t>an</w:t>
      </w:r>
      <w:r w:rsidR="00280155" w:rsidRPr="00816DDD">
        <w:rPr>
          <w:spacing w:val="7"/>
          <w:shd w:val="clear" w:color="auto" w:fill="FFFFFF"/>
        </w:rPr>
        <w:t>d the requirements of the market</w:t>
      </w:r>
      <w:r w:rsidR="00A77824" w:rsidRPr="00816DDD">
        <w:rPr>
          <w:rFonts w:hint="cs"/>
          <w:spacing w:val="7"/>
          <w:shd w:val="clear" w:color="auto" w:fill="FFFFFF"/>
        </w:rPr>
        <w:t>.</w:t>
      </w:r>
      <w:r w:rsidR="00BF714F" w:rsidRPr="00816DDD">
        <w:rPr>
          <w:spacing w:val="7"/>
          <w:shd w:val="clear" w:color="auto" w:fill="FFFFFF"/>
        </w:rPr>
        <w:t xml:space="preserve">  The smaller the tick</w:t>
      </w:r>
      <w:r w:rsidR="00D235B9">
        <w:rPr>
          <w:spacing w:val="7"/>
          <w:shd w:val="clear" w:color="auto" w:fill="FFFFFF"/>
        </w:rPr>
        <w:t>,</w:t>
      </w:r>
      <w:r w:rsidR="00BF714F" w:rsidRPr="00816DDD">
        <w:rPr>
          <w:spacing w:val="7"/>
          <w:shd w:val="clear" w:color="auto" w:fill="FFFFFF"/>
        </w:rPr>
        <w:t xml:space="preserve"> the greater the potential for profit or loss</w:t>
      </w:r>
      <w:r w:rsidR="00AE054F" w:rsidRPr="00816DDD">
        <w:rPr>
          <w:spacing w:val="7"/>
          <w:shd w:val="clear" w:color="auto" w:fill="FFFFFF"/>
        </w:rPr>
        <w:t xml:space="preserve"> on a trade</w:t>
      </w:r>
      <w:r w:rsidR="00D235B9">
        <w:rPr>
          <w:spacing w:val="7"/>
          <w:shd w:val="clear" w:color="auto" w:fill="FFFFFF"/>
        </w:rPr>
        <w:t>,</w:t>
      </w:r>
      <w:r w:rsidR="00AE054F" w:rsidRPr="00816DDD">
        <w:rPr>
          <w:spacing w:val="7"/>
          <w:shd w:val="clear" w:color="auto" w:fill="FFFFFF"/>
        </w:rPr>
        <w:t xml:space="preserve"> </w:t>
      </w:r>
      <w:r w:rsidR="00BF714F" w:rsidRPr="00816DDD">
        <w:rPr>
          <w:spacing w:val="7"/>
          <w:shd w:val="clear" w:color="auto" w:fill="FFFFFF"/>
        </w:rPr>
        <w:t>and the tighter the bid-ask spread</w:t>
      </w:r>
      <w:r w:rsidR="00F7326B" w:rsidRPr="00816DDD">
        <w:rPr>
          <w:spacing w:val="7"/>
          <w:shd w:val="clear" w:color="auto" w:fill="FFFFFF"/>
        </w:rPr>
        <w:t xml:space="preserve">, </w:t>
      </w:r>
      <w:r w:rsidR="00AE054F" w:rsidRPr="00816DDD">
        <w:rPr>
          <w:spacing w:val="7"/>
          <w:shd w:val="clear" w:color="auto" w:fill="FFFFFF"/>
        </w:rPr>
        <w:t xml:space="preserve">which </w:t>
      </w:r>
      <w:r w:rsidR="00BF714F" w:rsidRPr="00816DDD">
        <w:rPr>
          <w:spacing w:val="7"/>
          <w:shd w:val="clear" w:color="auto" w:fill="FFFFFF"/>
        </w:rPr>
        <w:t>lower</w:t>
      </w:r>
      <w:r w:rsidR="00AE054F" w:rsidRPr="00816DDD">
        <w:rPr>
          <w:spacing w:val="7"/>
          <w:shd w:val="clear" w:color="auto" w:fill="FFFFFF"/>
        </w:rPr>
        <w:t>s</w:t>
      </w:r>
      <w:r w:rsidR="00BF714F" w:rsidRPr="00816DDD">
        <w:rPr>
          <w:spacing w:val="7"/>
          <w:shd w:val="clear" w:color="auto" w:fill="FFFFFF"/>
        </w:rPr>
        <w:t xml:space="preserve"> transaction costs.  For example, if </w:t>
      </w:r>
      <w:r w:rsidR="00051A88" w:rsidRPr="00816DDD">
        <w:rPr>
          <w:spacing w:val="7"/>
          <w:shd w:val="clear" w:color="auto" w:fill="FFFFFF"/>
        </w:rPr>
        <w:t xml:space="preserve">a futures contract </w:t>
      </w:r>
      <w:r w:rsidR="0080690A" w:rsidRPr="00816DDD">
        <w:rPr>
          <w:spacing w:val="7"/>
          <w:shd w:val="clear" w:color="auto" w:fill="FFFFFF"/>
        </w:rPr>
        <w:t xml:space="preserve">denoted in CAD </w:t>
      </w:r>
      <w:r w:rsidR="00051A88" w:rsidRPr="00816DDD">
        <w:rPr>
          <w:spacing w:val="7"/>
          <w:shd w:val="clear" w:color="auto" w:fill="FFFFFF"/>
        </w:rPr>
        <w:t>ha</w:t>
      </w:r>
      <w:r w:rsidR="008A5F8A" w:rsidRPr="00816DDD">
        <w:rPr>
          <w:spacing w:val="7"/>
          <w:shd w:val="clear" w:color="auto" w:fill="FFFFFF"/>
        </w:rPr>
        <w:t>s</w:t>
      </w:r>
      <w:r w:rsidR="00051A88" w:rsidRPr="00816DDD">
        <w:rPr>
          <w:spacing w:val="7"/>
          <w:shd w:val="clear" w:color="auto" w:fill="FFFFFF"/>
        </w:rPr>
        <w:t xml:space="preserve"> a tick of .0025</w:t>
      </w:r>
      <w:r w:rsidR="00D235B9">
        <w:rPr>
          <w:spacing w:val="7"/>
          <w:shd w:val="clear" w:color="auto" w:fill="FFFFFF"/>
        </w:rPr>
        <w:t>,</w:t>
      </w:r>
      <w:r w:rsidR="00051A88" w:rsidRPr="00816DDD">
        <w:rPr>
          <w:spacing w:val="7"/>
          <w:shd w:val="clear" w:color="auto" w:fill="FFFFFF"/>
        </w:rPr>
        <w:t xml:space="preserve"> that means</w:t>
      </w:r>
      <w:r w:rsidR="0080690A" w:rsidRPr="00816DDD">
        <w:rPr>
          <w:spacing w:val="7"/>
          <w:shd w:val="clear" w:color="auto" w:fill="FFFFFF"/>
        </w:rPr>
        <w:t xml:space="preserve"> </w:t>
      </w:r>
      <w:r w:rsidR="006961D2" w:rsidRPr="00816DDD">
        <w:rPr>
          <w:spacing w:val="7"/>
          <w:shd w:val="clear" w:color="auto" w:fill="FFFFFF"/>
        </w:rPr>
        <w:t xml:space="preserve">the </w:t>
      </w:r>
      <w:r w:rsidR="0080690A" w:rsidRPr="00816DDD">
        <w:rPr>
          <w:spacing w:val="7"/>
          <w:shd w:val="clear" w:color="auto" w:fill="FFFFFF"/>
        </w:rPr>
        <w:t xml:space="preserve">price </w:t>
      </w:r>
      <w:r w:rsidR="006961D2" w:rsidRPr="00816DDD">
        <w:rPr>
          <w:spacing w:val="7"/>
          <w:shd w:val="clear" w:color="auto" w:fill="FFFFFF"/>
        </w:rPr>
        <w:t>of one contract</w:t>
      </w:r>
      <w:r w:rsidR="000B481F" w:rsidRPr="00816DDD">
        <w:rPr>
          <w:spacing w:val="7"/>
          <w:shd w:val="clear" w:color="auto" w:fill="FFFFFF"/>
        </w:rPr>
        <w:t xml:space="preserve"> unit </w:t>
      </w:r>
      <w:r w:rsidR="0080690A" w:rsidRPr="00816DDD">
        <w:rPr>
          <w:spacing w:val="7"/>
          <w:shd w:val="clear" w:color="auto" w:fill="FFFFFF"/>
        </w:rPr>
        <w:t xml:space="preserve">can rise or fall by </w:t>
      </w:r>
      <w:r w:rsidR="003E6E98">
        <w:rPr>
          <w:spacing w:val="7"/>
          <w:shd w:val="clear" w:color="auto" w:fill="FFFFFF"/>
        </w:rPr>
        <w:t>one-quarter</w:t>
      </w:r>
      <w:r w:rsidR="0080690A" w:rsidRPr="00816DDD">
        <w:rPr>
          <w:spacing w:val="7"/>
          <w:shd w:val="clear" w:color="auto" w:fill="FFFFFF"/>
        </w:rPr>
        <w:t xml:space="preserve"> of one cent.  If the contract size is 10,000 </w:t>
      </w:r>
      <w:r w:rsidR="00DB48F4" w:rsidRPr="00816DDD">
        <w:rPr>
          <w:spacing w:val="7"/>
          <w:shd w:val="clear" w:color="auto" w:fill="FFFFFF"/>
        </w:rPr>
        <w:t>units</w:t>
      </w:r>
      <w:r w:rsidR="0080690A" w:rsidRPr="00816DDD">
        <w:rPr>
          <w:spacing w:val="7"/>
          <w:shd w:val="clear" w:color="auto" w:fill="FFFFFF"/>
        </w:rPr>
        <w:t xml:space="preserve">, the </w:t>
      </w:r>
      <w:r w:rsidR="000B481F" w:rsidRPr="00816DDD">
        <w:rPr>
          <w:spacing w:val="7"/>
          <w:shd w:val="clear" w:color="auto" w:fill="FFFFFF"/>
        </w:rPr>
        <w:t xml:space="preserve">value of the futures contract </w:t>
      </w:r>
      <w:r w:rsidR="008A5F8A" w:rsidRPr="00816DDD">
        <w:rPr>
          <w:spacing w:val="7"/>
          <w:shd w:val="clear" w:color="auto" w:fill="FFFFFF"/>
        </w:rPr>
        <w:t xml:space="preserve">can fluctuate </w:t>
      </w:r>
      <w:r w:rsidR="000115E4" w:rsidRPr="00816DDD">
        <w:rPr>
          <w:spacing w:val="7"/>
          <w:shd w:val="clear" w:color="auto" w:fill="FFFFFF"/>
        </w:rPr>
        <w:t xml:space="preserve">by a </w:t>
      </w:r>
      <w:r w:rsidR="008A5F8A" w:rsidRPr="00816DDD">
        <w:rPr>
          <w:spacing w:val="7"/>
          <w:shd w:val="clear" w:color="auto" w:fill="FFFFFF"/>
        </w:rPr>
        <w:t xml:space="preserve">minimum </w:t>
      </w:r>
      <w:r w:rsidR="000115E4" w:rsidRPr="00816DDD">
        <w:rPr>
          <w:spacing w:val="7"/>
          <w:shd w:val="clear" w:color="auto" w:fill="FFFFFF"/>
        </w:rPr>
        <w:t xml:space="preserve">of </w:t>
      </w:r>
      <w:r w:rsidR="0080690A" w:rsidRPr="00816DDD">
        <w:rPr>
          <w:spacing w:val="7"/>
          <w:shd w:val="clear" w:color="auto" w:fill="FFFFFF"/>
        </w:rPr>
        <w:t>CAD 25</w:t>
      </w:r>
      <w:r w:rsidR="008F2A17" w:rsidRPr="00816DDD">
        <w:rPr>
          <w:spacing w:val="7"/>
          <w:shd w:val="clear" w:color="auto" w:fill="FFFFFF"/>
        </w:rPr>
        <w:t xml:space="preserve"> (10,000 x .0025)</w:t>
      </w:r>
      <w:r w:rsidR="00705C8F" w:rsidRPr="00816DDD">
        <w:rPr>
          <w:spacing w:val="7"/>
          <w:shd w:val="clear" w:color="auto" w:fill="FFFFFF"/>
        </w:rPr>
        <w:t>.</w:t>
      </w:r>
      <w:r w:rsidR="008F2A17" w:rsidRPr="00816DDD">
        <w:rPr>
          <w:spacing w:val="7"/>
          <w:shd w:val="clear" w:color="auto" w:fill="FFFFFF"/>
        </w:rPr>
        <w:t xml:space="preserve">  </w:t>
      </w:r>
      <w:r w:rsidR="00705C8F" w:rsidRPr="00816DDD">
        <w:rPr>
          <w:spacing w:val="7"/>
          <w:shd w:val="clear" w:color="auto" w:fill="FFFFFF"/>
        </w:rPr>
        <w:t>This is called</w:t>
      </w:r>
      <w:r w:rsidR="000B481F" w:rsidRPr="00816DDD">
        <w:rPr>
          <w:spacing w:val="7"/>
          <w:shd w:val="clear" w:color="auto" w:fill="FFFFFF"/>
        </w:rPr>
        <w:t xml:space="preserve"> t</w:t>
      </w:r>
      <w:r w:rsidR="000115E4" w:rsidRPr="00816DDD">
        <w:rPr>
          <w:spacing w:val="7"/>
          <w:shd w:val="clear" w:color="auto" w:fill="FFFFFF"/>
        </w:rPr>
        <w:t>he tick value.</w:t>
      </w:r>
    </w:p>
    <w:p w14:paraId="0412E084" w14:textId="77777777" w:rsidR="0080690A" w:rsidRPr="00816DDD" w:rsidRDefault="0080690A" w:rsidP="00B17F71">
      <w:pPr>
        <w:shd w:val="clear" w:color="auto" w:fill="FFFFFF"/>
        <w:spacing w:after="0" w:line="240" w:lineRule="auto"/>
        <w:rPr>
          <w:spacing w:val="7"/>
          <w:shd w:val="clear" w:color="auto" w:fill="FFFFFF"/>
        </w:rPr>
      </w:pPr>
    </w:p>
    <w:p w14:paraId="0B73D45B" w14:textId="0DE1E62E" w:rsidR="009A7EBD" w:rsidRDefault="006F3B1D" w:rsidP="00B17F71">
      <w:pPr>
        <w:shd w:val="clear" w:color="auto" w:fill="FFFFFF"/>
        <w:spacing w:after="0" w:line="240" w:lineRule="auto"/>
        <w:rPr>
          <w:spacing w:val="7"/>
          <w:shd w:val="clear" w:color="auto" w:fill="FFFFFF"/>
        </w:rPr>
      </w:pPr>
      <w:r w:rsidRPr="00816DDD">
        <w:rPr>
          <w:spacing w:val="7"/>
          <w:shd w:val="clear" w:color="auto" w:fill="FFFFFF"/>
        </w:rPr>
        <w:t>New York Mercantile Exchange (NYMEX) is a major commodity futures exchange</w:t>
      </w:r>
      <w:r w:rsidR="00A43B89" w:rsidRPr="00816DDD">
        <w:rPr>
          <w:spacing w:val="7"/>
          <w:shd w:val="clear" w:color="auto" w:fill="FFFFFF"/>
        </w:rPr>
        <w:t xml:space="preserve"> </w:t>
      </w:r>
      <w:r w:rsidR="00CB79E2" w:rsidRPr="00816DDD">
        <w:rPr>
          <w:spacing w:val="7"/>
          <w:shd w:val="clear" w:color="auto" w:fill="FFFFFF"/>
        </w:rPr>
        <w:t xml:space="preserve">also </w:t>
      </w:r>
      <w:r w:rsidRPr="00816DDD">
        <w:rPr>
          <w:spacing w:val="7"/>
          <w:shd w:val="clear" w:color="auto" w:fill="FFFFFF"/>
        </w:rPr>
        <w:t xml:space="preserve">owned by </w:t>
      </w:r>
      <w:r w:rsidR="00A43B89" w:rsidRPr="00816DDD">
        <w:rPr>
          <w:spacing w:val="7"/>
          <w:shd w:val="clear" w:color="auto" w:fill="FFFFFF"/>
        </w:rPr>
        <w:t xml:space="preserve">the </w:t>
      </w:r>
      <w:r w:rsidRPr="00816DDD">
        <w:rPr>
          <w:spacing w:val="7"/>
          <w:shd w:val="clear" w:color="auto" w:fill="FFFFFF"/>
        </w:rPr>
        <w:t xml:space="preserve">CME </w:t>
      </w:r>
      <w:r w:rsidR="00A43B89" w:rsidRPr="00816DDD">
        <w:rPr>
          <w:spacing w:val="7"/>
          <w:shd w:val="clear" w:color="auto" w:fill="FFFFFF"/>
        </w:rPr>
        <w:t>G</w:t>
      </w:r>
      <w:r w:rsidRPr="00816DDD">
        <w:rPr>
          <w:spacing w:val="7"/>
          <w:shd w:val="clear" w:color="auto" w:fill="FFFFFF"/>
        </w:rPr>
        <w:t xml:space="preserve">roup. </w:t>
      </w:r>
      <w:r w:rsidR="00AC5B80" w:rsidRPr="00816DDD">
        <w:rPr>
          <w:spacing w:val="7"/>
          <w:shd w:val="clear" w:color="auto" w:fill="FFFFFF"/>
        </w:rPr>
        <w:t xml:space="preserve">It </w:t>
      </w:r>
      <w:r w:rsidRPr="00816DDD">
        <w:rPr>
          <w:spacing w:val="7"/>
          <w:shd w:val="clear" w:color="auto" w:fill="FFFFFF"/>
        </w:rPr>
        <w:t>offer</w:t>
      </w:r>
      <w:r w:rsidR="00A43B89" w:rsidRPr="00816DDD">
        <w:rPr>
          <w:spacing w:val="7"/>
          <w:shd w:val="clear" w:color="auto" w:fill="FFFFFF"/>
        </w:rPr>
        <w:t xml:space="preserve">s the NYMEX </w:t>
      </w:r>
      <w:r w:rsidRPr="00816DDD">
        <w:rPr>
          <w:spacing w:val="7"/>
          <w:shd w:val="clear" w:color="auto" w:fill="FFFFFF"/>
        </w:rPr>
        <w:t>West Texas Intermediate</w:t>
      </w:r>
      <w:r w:rsidR="00A43B89" w:rsidRPr="00816DDD">
        <w:rPr>
          <w:spacing w:val="7"/>
          <w:shd w:val="clear" w:color="auto" w:fill="FFFFFF"/>
        </w:rPr>
        <w:t xml:space="preserve"> (WTI)</w:t>
      </w:r>
      <w:r w:rsidR="00F330E4" w:rsidRPr="00816DDD">
        <w:rPr>
          <w:spacing w:val="7"/>
          <w:shd w:val="clear" w:color="auto" w:fill="FFFFFF"/>
        </w:rPr>
        <w:t xml:space="preserve"> Crude </w:t>
      </w:r>
      <w:r w:rsidR="00E71DA6" w:rsidRPr="00816DDD">
        <w:rPr>
          <w:spacing w:val="7"/>
          <w:shd w:val="clear" w:color="auto" w:fill="FFFFFF"/>
        </w:rPr>
        <w:t xml:space="preserve">Oil </w:t>
      </w:r>
      <w:r w:rsidR="00AC5B80" w:rsidRPr="00816DDD">
        <w:rPr>
          <w:spacing w:val="7"/>
          <w:shd w:val="clear" w:color="auto" w:fill="FFFFFF"/>
        </w:rPr>
        <w:t>futures</w:t>
      </w:r>
      <w:r w:rsidR="00A43B89" w:rsidRPr="00816DDD">
        <w:rPr>
          <w:spacing w:val="7"/>
          <w:shd w:val="clear" w:color="auto" w:fill="FFFFFF"/>
        </w:rPr>
        <w:t xml:space="preserve">, the world’s most traded crude oil </w:t>
      </w:r>
      <w:r w:rsidR="00AC5B80" w:rsidRPr="00816DDD">
        <w:rPr>
          <w:spacing w:val="7"/>
          <w:shd w:val="clear" w:color="auto" w:fill="FFFFFF"/>
        </w:rPr>
        <w:t>contract</w:t>
      </w:r>
      <w:r w:rsidR="00A43B89" w:rsidRPr="00816DDD">
        <w:rPr>
          <w:spacing w:val="7"/>
          <w:shd w:val="clear" w:color="auto" w:fill="FFFFFF"/>
        </w:rPr>
        <w:t>.</w:t>
      </w:r>
      <w:r w:rsidR="002300ED" w:rsidRPr="00816DDD">
        <w:rPr>
          <w:spacing w:val="7"/>
          <w:shd w:val="clear" w:color="auto" w:fill="FFFFFF"/>
        </w:rPr>
        <w:t xml:space="preserve">  Exhibit 15 contains a description of the contract</w:t>
      </w:r>
      <w:r w:rsidR="00E31FE6" w:rsidRPr="00816DDD">
        <w:rPr>
          <w:spacing w:val="7"/>
          <w:shd w:val="clear" w:color="auto" w:fill="FFFFFF"/>
        </w:rPr>
        <w:t xml:space="preserve"> that might be provided by </w:t>
      </w:r>
      <w:r w:rsidR="00881CBC" w:rsidRPr="00816DDD">
        <w:rPr>
          <w:spacing w:val="7"/>
          <w:shd w:val="clear" w:color="auto" w:fill="FFFFFF"/>
        </w:rPr>
        <w:t>NYMEX</w:t>
      </w:r>
      <w:r w:rsidR="00E31FE6" w:rsidRPr="00816DDD">
        <w:rPr>
          <w:spacing w:val="7"/>
          <w:shd w:val="clear" w:color="auto" w:fill="FFFFFF"/>
        </w:rPr>
        <w:t xml:space="preserve"> or </w:t>
      </w:r>
      <w:r w:rsidR="00881CBC" w:rsidRPr="00816DDD">
        <w:rPr>
          <w:spacing w:val="7"/>
          <w:shd w:val="clear" w:color="auto" w:fill="FFFFFF"/>
        </w:rPr>
        <w:t xml:space="preserve">a </w:t>
      </w:r>
      <w:r w:rsidR="00E31FE6" w:rsidRPr="00816DDD">
        <w:rPr>
          <w:spacing w:val="7"/>
          <w:shd w:val="clear" w:color="auto" w:fill="FFFFFF"/>
        </w:rPr>
        <w:t>broker</w:t>
      </w:r>
      <w:r w:rsidR="00881CBC" w:rsidRPr="00816DDD">
        <w:rPr>
          <w:spacing w:val="7"/>
          <w:shd w:val="clear" w:color="auto" w:fill="FFFFFF"/>
        </w:rPr>
        <w:t xml:space="preserve"> that places orders for clients on the exchange</w:t>
      </w:r>
      <w:r w:rsidR="00E31FE6" w:rsidRPr="00816DDD">
        <w:rPr>
          <w:spacing w:val="7"/>
          <w:shd w:val="clear" w:color="auto" w:fill="FFFFFF"/>
        </w:rPr>
        <w:t>.</w:t>
      </w:r>
    </w:p>
    <w:p w14:paraId="1B32A2BF" w14:textId="77777777" w:rsidR="00F21269" w:rsidRPr="00816DDD" w:rsidRDefault="00F21269" w:rsidP="00B17F71">
      <w:pPr>
        <w:shd w:val="clear" w:color="auto" w:fill="FFFFFF"/>
        <w:spacing w:after="0" w:line="240" w:lineRule="auto"/>
        <w:rPr>
          <w:spacing w:val="7"/>
          <w:shd w:val="clear" w:color="auto" w:fill="FFFFFF"/>
        </w:rPr>
      </w:pPr>
    </w:p>
    <w:p w14:paraId="1B42D11D" w14:textId="62FDAB5A" w:rsidR="00AC5B80" w:rsidRPr="00816DDD" w:rsidRDefault="00AC5B80" w:rsidP="00B17F71">
      <w:pPr>
        <w:shd w:val="clear" w:color="auto" w:fill="FFFFFF"/>
        <w:spacing w:after="0" w:line="240" w:lineRule="auto"/>
        <w:jc w:val="center"/>
        <w:rPr>
          <w:b/>
          <w:bCs/>
          <w:spacing w:val="7"/>
          <w:sz w:val="20"/>
          <w:szCs w:val="20"/>
          <w:shd w:val="clear" w:color="auto" w:fill="FFFFFF"/>
        </w:rPr>
      </w:pPr>
      <w:r w:rsidRPr="00816DDD">
        <w:rPr>
          <w:b/>
          <w:bCs/>
          <w:spacing w:val="7"/>
          <w:sz w:val="20"/>
          <w:szCs w:val="20"/>
          <w:shd w:val="clear" w:color="auto" w:fill="FFFFFF"/>
        </w:rPr>
        <w:t>Exhibit 1</w:t>
      </w:r>
      <w:r w:rsidR="00BD174E" w:rsidRPr="00816DDD">
        <w:rPr>
          <w:b/>
          <w:bCs/>
          <w:spacing w:val="7"/>
          <w:sz w:val="20"/>
          <w:szCs w:val="20"/>
          <w:shd w:val="clear" w:color="auto" w:fill="FFFFFF"/>
        </w:rPr>
        <w:t>6</w:t>
      </w:r>
      <w:r w:rsidRPr="00816DDD">
        <w:rPr>
          <w:b/>
          <w:bCs/>
          <w:spacing w:val="7"/>
          <w:sz w:val="20"/>
          <w:szCs w:val="20"/>
          <w:shd w:val="clear" w:color="auto" w:fill="FFFFFF"/>
        </w:rPr>
        <w:t>: NYMEX WTI Crude O</w:t>
      </w:r>
      <w:r w:rsidR="00F330E4" w:rsidRPr="00816DDD">
        <w:rPr>
          <w:b/>
          <w:bCs/>
          <w:spacing w:val="7"/>
          <w:sz w:val="20"/>
          <w:szCs w:val="20"/>
          <w:shd w:val="clear" w:color="auto" w:fill="FFFFFF"/>
        </w:rPr>
        <w:t>il</w:t>
      </w:r>
    </w:p>
    <w:p w14:paraId="08CD4731" w14:textId="77777777" w:rsidR="00CE0AFF" w:rsidRPr="00816DDD" w:rsidRDefault="00CE0AFF" w:rsidP="00AC5B80">
      <w:pPr>
        <w:shd w:val="clear" w:color="auto" w:fill="FFFFFF"/>
        <w:spacing w:after="0" w:line="240" w:lineRule="auto"/>
        <w:jc w:val="center"/>
        <w:rPr>
          <w:b/>
          <w:bCs/>
          <w:spacing w:val="7"/>
          <w:sz w:val="20"/>
          <w:szCs w:val="20"/>
          <w:shd w:val="clear" w:color="auto" w:fill="FFFFFF"/>
        </w:rPr>
      </w:pPr>
    </w:p>
    <w:tbl>
      <w:tblPr>
        <w:tblStyle w:val="TableGrid"/>
        <w:tblW w:w="8910" w:type="dxa"/>
        <w:tblInd w:w="535" w:type="dxa"/>
        <w:tblLook w:val="04A0" w:firstRow="1" w:lastRow="0" w:firstColumn="1" w:lastColumn="0" w:noHBand="0" w:noVBand="1"/>
      </w:tblPr>
      <w:tblGrid>
        <w:gridCol w:w="2880"/>
        <w:gridCol w:w="6030"/>
      </w:tblGrid>
      <w:tr w:rsidR="00816DDD" w:rsidRPr="00816DDD" w14:paraId="7DF23B7D" w14:textId="77777777" w:rsidTr="00AE414F">
        <w:tc>
          <w:tcPr>
            <w:tcW w:w="2880" w:type="dxa"/>
            <w:vAlign w:val="center"/>
          </w:tcPr>
          <w:p w14:paraId="5C292EE1" w14:textId="3F50395D" w:rsidR="00CE0AFF" w:rsidRPr="00816DDD" w:rsidRDefault="00CE0AFF" w:rsidP="00FA1A21">
            <w:pPr>
              <w:rPr>
                <w:spacing w:val="7"/>
                <w:sz w:val="20"/>
                <w:szCs w:val="20"/>
                <w:shd w:val="clear" w:color="auto" w:fill="FFFFFF"/>
              </w:rPr>
            </w:pPr>
            <w:r w:rsidRPr="00816DDD">
              <w:rPr>
                <w:spacing w:val="7"/>
                <w:sz w:val="20"/>
                <w:szCs w:val="20"/>
                <w:shd w:val="clear" w:color="auto" w:fill="FFFFFF"/>
              </w:rPr>
              <w:t>Contract</w:t>
            </w:r>
          </w:p>
        </w:tc>
        <w:tc>
          <w:tcPr>
            <w:tcW w:w="6030" w:type="dxa"/>
          </w:tcPr>
          <w:p w14:paraId="32F862C7" w14:textId="2BB25187" w:rsidR="00CE0AFF" w:rsidRPr="00816DDD" w:rsidRDefault="00CE0AFF" w:rsidP="00FA1A21">
            <w:pPr>
              <w:rPr>
                <w:spacing w:val="7"/>
                <w:sz w:val="20"/>
                <w:szCs w:val="20"/>
                <w:shd w:val="clear" w:color="auto" w:fill="FFFFFF"/>
              </w:rPr>
            </w:pPr>
            <w:r w:rsidRPr="00816DDD">
              <w:rPr>
                <w:spacing w:val="7"/>
                <w:sz w:val="20"/>
                <w:szCs w:val="20"/>
                <w:shd w:val="clear" w:color="auto" w:fill="FFFFFF"/>
              </w:rPr>
              <w:t xml:space="preserve">WTI </w:t>
            </w:r>
            <w:r w:rsidR="00F330E4" w:rsidRPr="00816DDD">
              <w:rPr>
                <w:spacing w:val="7"/>
                <w:sz w:val="20"/>
                <w:szCs w:val="20"/>
                <w:shd w:val="clear" w:color="auto" w:fill="FFFFFF"/>
              </w:rPr>
              <w:t xml:space="preserve">Crude </w:t>
            </w:r>
            <w:r w:rsidR="00E71DA6" w:rsidRPr="00816DDD">
              <w:rPr>
                <w:spacing w:val="7"/>
                <w:sz w:val="20"/>
                <w:szCs w:val="20"/>
                <w:shd w:val="clear" w:color="auto" w:fill="FFFFFF"/>
              </w:rPr>
              <w:t>O</w:t>
            </w:r>
            <w:r w:rsidR="00F330E4" w:rsidRPr="00816DDD">
              <w:rPr>
                <w:spacing w:val="7"/>
                <w:sz w:val="20"/>
                <w:szCs w:val="20"/>
                <w:shd w:val="clear" w:color="auto" w:fill="FFFFFF"/>
              </w:rPr>
              <w:t>il</w:t>
            </w:r>
          </w:p>
        </w:tc>
      </w:tr>
      <w:tr w:rsidR="00816DDD" w:rsidRPr="00816DDD" w14:paraId="0F8439F5" w14:textId="77777777" w:rsidTr="00AE414F">
        <w:tc>
          <w:tcPr>
            <w:tcW w:w="2880" w:type="dxa"/>
            <w:vAlign w:val="center"/>
          </w:tcPr>
          <w:p w14:paraId="7FF32B5F" w14:textId="6472FF81" w:rsidR="00CE0AFF" w:rsidRPr="00816DDD" w:rsidRDefault="00CE0AFF" w:rsidP="00FA1A21">
            <w:pPr>
              <w:rPr>
                <w:spacing w:val="7"/>
                <w:sz w:val="20"/>
                <w:szCs w:val="20"/>
                <w:shd w:val="clear" w:color="auto" w:fill="FFFFFF"/>
              </w:rPr>
            </w:pPr>
            <w:r w:rsidRPr="00816DDD">
              <w:rPr>
                <w:spacing w:val="7"/>
                <w:sz w:val="20"/>
                <w:szCs w:val="20"/>
                <w:shd w:val="clear" w:color="auto" w:fill="FFFFFF"/>
              </w:rPr>
              <w:t>Exchange</w:t>
            </w:r>
          </w:p>
        </w:tc>
        <w:tc>
          <w:tcPr>
            <w:tcW w:w="6030" w:type="dxa"/>
          </w:tcPr>
          <w:p w14:paraId="2ED3D44C" w14:textId="6EF7057A" w:rsidR="00CE0AFF" w:rsidRPr="00816DDD" w:rsidRDefault="00CE0AFF" w:rsidP="00FA1A21">
            <w:pPr>
              <w:rPr>
                <w:spacing w:val="7"/>
                <w:sz w:val="20"/>
                <w:szCs w:val="20"/>
                <w:shd w:val="clear" w:color="auto" w:fill="FFFFFF"/>
              </w:rPr>
            </w:pPr>
            <w:r w:rsidRPr="00816DDD">
              <w:rPr>
                <w:spacing w:val="7"/>
                <w:sz w:val="20"/>
                <w:szCs w:val="20"/>
                <w:shd w:val="clear" w:color="auto" w:fill="FFFFFF"/>
              </w:rPr>
              <w:t>NYMEX</w:t>
            </w:r>
          </w:p>
        </w:tc>
      </w:tr>
      <w:tr w:rsidR="00816DDD" w:rsidRPr="00816DDD" w14:paraId="2464AD79" w14:textId="77777777" w:rsidTr="00AE414F">
        <w:tc>
          <w:tcPr>
            <w:tcW w:w="2880" w:type="dxa"/>
            <w:vAlign w:val="center"/>
          </w:tcPr>
          <w:p w14:paraId="50E12A63" w14:textId="196DAAA9" w:rsidR="00CE0AFF" w:rsidRPr="00816DDD" w:rsidRDefault="00CE0AFF" w:rsidP="00FA1A21">
            <w:pPr>
              <w:rPr>
                <w:spacing w:val="7"/>
                <w:sz w:val="20"/>
                <w:szCs w:val="20"/>
                <w:shd w:val="clear" w:color="auto" w:fill="FFFFFF"/>
              </w:rPr>
            </w:pPr>
            <w:r w:rsidRPr="00816DDD">
              <w:rPr>
                <w:spacing w:val="7"/>
                <w:sz w:val="20"/>
                <w:szCs w:val="20"/>
                <w:shd w:val="clear" w:color="auto" w:fill="FFFFFF"/>
              </w:rPr>
              <w:t>Exchange symbol</w:t>
            </w:r>
          </w:p>
        </w:tc>
        <w:tc>
          <w:tcPr>
            <w:tcW w:w="6030" w:type="dxa"/>
          </w:tcPr>
          <w:p w14:paraId="6923FB18" w14:textId="506F5261" w:rsidR="00CE0AFF" w:rsidRPr="00816DDD" w:rsidRDefault="00CE0AFF" w:rsidP="00FA1A21">
            <w:pPr>
              <w:rPr>
                <w:spacing w:val="7"/>
                <w:sz w:val="20"/>
                <w:szCs w:val="20"/>
                <w:shd w:val="clear" w:color="auto" w:fill="FFFFFF"/>
              </w:rPr>
            </w:pPr>
            <w:r w:rsidRPr="00816DDD">
              <w:rPr>
                <w:spacing w:val="7"/>
                <w:sz w:val="20"/>
                <w:szCs w:val="20"/>
                <w:shd w:val="clear" w:color="auto" w:fill="FFFFFF"/>
              </w:rPr>
              <w:t>CL</w:t>
            </w:r>
          </w:p>
        </w:tc>
      </w:tr>
      <w:tr w:rsidR="00816DDD" w:rsidRPr="00816DDD" w14:paraId="139EEBA3" w14:textId="77777777" w:rsidTr="00AE414F">
        <w:tc>
          <w:tcPr>
            <w:tcW w:w="2880" w:type="dxa"/>
            <w:vAlign w:val="center"/>
          </w:tcPr>
          <w:p w14:paraId="455FC80F" w14:textId="598837FF" w:rsidR="00CE0AFF" w:rsidRPr="00816DDD" w:rsidRDefault="00CE0AFF" w:rsidP="00FA1A21">
            <w:pPr>
              <w:rPr>
                <w:spacing w:val="7"/>
                <w:sz w:val="20"/>
                <w:szCs w:val="20"/>
                <w:shd w:val="clear" w:color="auto" w:fill="FFFFFF"/>
              </w:rPr>
            </w:pPr>
            <w:r w:rsidRPr="00816DDD">
              <w:rPr>
                <w:spacing w:val="7"/>
                <w:sz w:val="20"/>
                <w:szCs w:val="20"/>
                <w:shd w:val="clear" w:color="auto" w:fill="FFFFFF"/>
              </w:rPr>
              <w:t xml:space="preserve">Contract </w:t>
            </w:r>
            <w:r w:rsidR="00EA0903" w:rsidRPr="00816DDD">
              <w:rPr>
                <w:spacing w:val="7"/>
                <w:sz w:val="20"/>
                <w:szCs w:val="20"/>
                <w:shd w:val="clear" w:color="auto" w:fill="FFFFFF"/>
              </w:rPr>
              <w:t>size</w:t>
            </w:r>
          </w:p>
        </w:tc>
        <w:tc>
          <w:tcPr>
            <w:tcW w:w="6030" w:type="dxa"/>
          </w:tcPr>
          <w:p w14:paraId="068ABDC5" w14:textId="54510005" w:rsidR="00CE0AFF" w:rsidRPr="00816DDD" w:rsidRDefault="00CE0AFF" w:rsidP="00FA1A21">
            <w:pPr>
              <w:rPr>
                <w:spacing w:val="7"/>
                <w:sz w:val="20"/>
                <w:szCs w:val="20"/>
                <w:shd w:val="clear" w:color="auto" w:fill="FFFFFF"/>
              </w:rPr>
            </w:pPr>
            <w:r w:rsidRPr="00816DDD">
              <w:rPr>
                <w:spacing w:val="7"/>
                <w:sz w:val="20"/>
                <w:szCs w:val="20"/>
                <w:shd w:val="clear" w:color="auto" w:fill="FFFFFF"/>
              </w:rPr>
              <w:t>1,000 barrels</w:t>
            </w:r>
          </w:p>
        </w:tc>
      </w:tr>
      <w:tr w:rsidR="00816DDD" w:rsidRPr="00816DDD" w14:paraId="521957C5" w14:textId="77777777" w:rsidTr="00AE414F">
        <w:tc>
          <w:tcPr>
            <w:tcW w:w="2880" w:type="dxa"/>
            <w:vAlign w:val="center"/>
          </w:tcPr>
          <w:p w14:paraId="52C2811D" w14:textId="6C519725" w:rsidR="00CE0AFF" w:rsidRPr="00816DDD" w:rsidRDefault="00CE0AFF" w:rsidP="00FA1A21">
            <w:pPr>
              <w:rPr>
                <w:spacing w:val="7"/>
                <w:sz w:val="20"/>
                <w:szCs w:val="20"/>
                <w:shd w:val="clear" w:color="auto" w:fill="FFFFFF"/>
              </w:rPr>
            </w:pPr>
            <w:r w:rsidRPr="00816DDD">
              <w:rPr>
                <w:spacing w:val="7"/>
                <w:sz w:val="20"/>
                <w:szCs w:val="20"/>
                <w:shd w:val="clear" w:color="auto" w:fill="FFFFFF"/>
              </w:rPr>
              <w:t>Price quotation</w:t>
            </w:r>
          </w:p>
        </w:tc>
        <w:tc>
          <w:tcPr>
            <w:tcW w:w="6030" w:type="dxa"/>
          </w:tcPr>
          <w:p w14:paraId="0AE01885" w14:textId="0123880A" w:rsidR="00CE0AFF" w:rsidRPr="00816DDD" w:rsidRDefault="00CE0AFF" w:rsidP="00FA1A21">
            <w:pPr>
              <w:rPr>
                <w:spacing w:val="7"/>
                <w:sz w:val="20"/>
                <w:szCs w:val="20"/>
                <w:shd w:val="clear" w:color="auto" w:fill="FFFFFF"/>
              </w:rPr>
            </w:pPr>
            <w:r w:rsidRPr="00816DDD">
              <w:rPr>
                <w:spacing w:val="7"/>
                <w:sz w:val="20"/>
                <w:szCs w:val="20"/>
                <w:shd w:val="clear" w:color="auto" w:fill="FFFFFF"/>
              </w:rPr>
              <w:t>U.S. dollar and cents per barrel</w:t>
            </w:r>
          </w:p>
        </w:tc>
      </w:tr>
      <w:tr w:rsidR="00816DDD" w:rsidRPr="00816DDD" w14:paraId="6C171F17" w14:textId="77777777" w:rsidTr="00AE414F">
        <w:tc>
          <w:tcPr>
            <w:tcW w:w="2880" w:type="dxa"/>
            <w:vAlign w:val="center"/>
          </w:tcPr>
          <w:p w14:paraId="3148F5E9" w14:textId="537A0D8E" w:rsidR="00CE0AFF" w:rsidRPr="00816DDD" w:rsidRDefault="00CE0AFF" w:rsidP="00FA1A21">
            <w:pPr>
              <w:rPr>
                <w:spacing w:val="7"/>
                <w:sz w:val="20"/>
                <w:szCs w:val="20"/>
                <w:shd w:val="clear" w:color="auto" w:fill="FFFFFF"/>
              </w:rPr>
            </w:pPr>
            <w:r w:rsidRPr="00816DDD">
              <w:rPr>
                <w:spacing w:val="7"/>
                <w:sz w:val="20"/>
                <w:szCs w:val="20"/>
                <w:shd w:val="clear" w:color="auto" w:fill="FFFFFF"/>
              </w:rPr>
              <w:t>Tick size/value</w:t>
            </w:r>
          </w:p>
        </w:tc>
        <w:tc>
          <w:tcPr>
            <w:tcW w:w="6030" w:type="dxa"/>
          </w:tcPr>
          <w:p w14:paraId="570EC136" w14:textId="098E1493" w:rsidR="00CE0AFF" w:rsidRPr="00816DDD" w:rsidRDefault="00CE0AFF" w:rsidP="00FA1A21">
            <w:pPr>
              <w:rPr>
                <w:spacing w:val="7"/>
                <w:sz w:val="20"/>
                <w:szCs w:val="20"/>
                <w:shd w:val="clear" w:color="auto" w:fill="FFFFFF"/>
              </w:rPr>
            </w:pPr>
            <w:r w:rsidRPr="00816DDD">
              <w:rPr>
                <w:rFonts w:hint="cs"/>
                <w:sz w:val="20"/>
                <w:szCs w:val="20"/>
                <w:shd w:val="clear" w:color="auto" w:fill="FFFFFF"/>
              </w:rPr>
              <w:t xml:space="preserve">1 cent per barrel or </w:t>
            </w:r>
            <w:r w:rsidR="005238CF" w:rsidRPr="00816DDD">
              <w:rPr>
                <w:rFonts w:hint="cs"/>
                <w:sz w:val="20"/>
                <w:szCs w:val="20"/>
                <w:shd w:val="clear" w:color="auto" w:fill="FFFFFF"/>
              </w:rPr>
              <w:t xml:space="preserve">USD </w:t>
            </w:r>
            <w:r w:rsidRPr="00816DDD">
              <w:rPr>
                <w:rFonts w:hint="cs"/>
                <w:sz w:val="20"/>
                <w:szCs w:val="20"/>
                <w:shd w:val="clear" w:color="auto" w:fill="FFFFFF"/>
              </w:rPr>
              <w:t>10.00 per contract</w:t>
            </w:r>
          </w:p>
        </w:tc>
      </w:tr>
      <w:tr w:rsidR="00816DDD" w:rsidRPr="00816DDD" w14:paraId="388878E6" w14:textId="77777777" w:rsidTr="00AE414F">
        <w:tc>
          <w:tcPr>
            <w:tcW w:w="2880" w:type="dxa"/>
            <w:vAlign w:val="center"/>
          </w:tcPr>
          <w:p w14:paraId="4E109377" w14:textId="50240843" w:rsidR="00CE0AFF" w:rsidRPr="00816DDD" w:rsidRDefault="00CE0AFF" w:rsidP="00FA1A21">
            <w:pPr>
              <w:rPr>
                <w:spacing w:val="7"/>
                <w:sz w:val="20"/>
                <w:szCs w:val="20"/>
                <w:shd w:val="clear" w:color="auto" w:fill="FFFFFF"/>
              </w:rPr>
            </w:pPr>
            <w:r w:rsidRPr="00816DDD">
              <w:rPr>
                <w:spacing w:val="7"/>
                <w:sz w:val="20"/>
                <w:szCs w:val="20"/>
                <w:shd w:val="clear" w:color="auto" w:fill="FFFFFF"/>
              </w:rPr>
              <w:lastRenderedPageBreak/>
              <w:t>Trading hours</w:t>
            </w:r>
          </w:p>
        </w:tc>
        <w:tc>
          <w:tcPr>
            <w:tcW w:w="6030" w:type="dxa"/>
          </w:tcPr>
          <w:p w14:paraId="6CF61B76" w14:textId="588D3CB8" w:rsidR="00CE0AFF" w:rsidRPr="00816DDD" w:rsidRDefault="005238CF" w:rsidP="00FA1A21">
            <w:pPr>
              <w:rPr>
                <w:spacing w:val="7"/>
                <w:sz w:val="20"/>
                <w:szCs w:val="20"/>
                <w:shd w:val="clear" w:color="auto" w:fill="FFFFFF"/>
              </w:rPr>
            </w:pPr>
            <w:r w:rsidRPr="00816DDD">
              <w:rPr>
                <w:rFonts w:hint="cs"/>
                <w:sz w:val="20"/>
                <w:szCs w:val="20"/>
                <w:shd w:val="clear" w:color="auto" w:fill="FFFFFF"/>
              </w:rPr>
              <w:t xml:space="preserve">Sunday 5:00 </w:t>
            </w:r>
            <w:r w:rsidR="008F7037">
              <w:rPr>
                <w:sz w:val="20"/>
                <w:szCs w:val="20"/>
                <w:shd w:val="clear" w:color="auto" w:fill="FFFFFF"/>
              </w:rPr>
              <w:t>p.m.</w:t>
            </w:r>
            <w:r w:rsidRPr="00816DDD">
              <w:rPr>
                <w:rFonts w:hint="cs"/>
                <w:sz w:val="20"/>
                <w:szCs w:val="20"/>
                <w:shd w:val="clear" w:color="auto" w:fill="FFFFFF"/>
              </w:rPr>
              <w:t xml:space="preserve"> to Fri</w:t>
            </w:r>
            <w:r w:rsidRPr="00816DDD">
              <w:rPr>
                <w:sz w:val="20"/>
                <w:szCs w:val="20"/>
                <w:shd w:val="clear" w:color="auto" w:fill="FFFFFF"/>
              </w:rPr>
              <w:t>day</w:t>
            </w:r>
            <w:r w:rsidRPr="00816DDD">
              <w:rPr>
                <w:rFonts w:hint="cs"/>
                <w:sz w:val="20"/>
                <w:szCs w:val="20"/>
                <w:shd w:val="clear" w:color="auto" w:fill="FFFFFF"/>
              </w:rPr>
              <w:t xml:space="preserve"> 4:00 </w:t>
            </w:r>
            <w:r w:rsidR="008F7037">
              <w:rPr>
                <w:sz w:val="20"/>
                <w:szCs w:val="20"/>
                <w:shd w:val="clear" w:color="auto" w:fill="FFFFFF"/>
              </w:rPr>
              <w:t>p.m.</w:t>
            </w:r>
            <w:r w:rsidRPr="00816DDD">
              <w:rPr>
                <w:rFonts w:hint="cs"/>
                <w:sz w:val="20"/>
                <w:szCs w:val="20"/>
                <w:shd w:val="clear" w:color="auto" w:fill="FFFFFF"/>
              </w:rPr>
              <w:t xml:space="preserve"> with a 60</w:t>
            </w:r>
            <w:r w:rsidRPr="00816DDD">
              <w:rPr>
                <w:sz w:val="20"/>
                <w:szCs w:val="20"/>
                <w:shd w:val="clear" w:color="auto" w:fill="FFFFFF"/>
              </w:rPr>
              <w:t>-</w:t>
            </w:r>
            <w:r w:rsidRPr="00816DDD">
              <w:rPr>
                <w:rFonts w:hint="cs"/>
                <w:sz w:val="20"/>
                <w:szCs w:val="20"/>
                <w:shd w:val="clear" w:color="auto" w:fill="FFFFFF"/>
              </w:rPr>
              <w:t xml:space="preserve">minute break at 4:00 </w:t>
            </w:r>
            <w:r w:rsidR="008F7037">
              <w:rPr>
                <w:sz w:val="20"/>
                <w:szCs w:val="20"/>
                <w:shd w:val="clear" w:color="auto" w:fill="FFFFFF"/>
              </w:rPr>
              <w:t>p.m.</w:t>
            </w:r>
            <w:r w:rsidRPr="00816DDD">
              <w:rPr>
                <w:rFonts w:hint="cs"/>
                <w:sz w:val="20"/>
                <w:szCs w:val="20"/>
                <w:shd w:val="clear" w:color="auto" w:fill="FFFFFF"/>
              </w:rPr>
              <w:t xml:space="preserve"> each day</w:t>
            </w:r>
          </w:p>
        </w:tc>
      </w:tr>
      <w:tr w:rsidR="00816DDD" w:rsidRPr="00816DDD" w14:paraId="4D26F7BE" w14:textId="77777777" w:rsidTr="00AE414F">
        <w:tc>
          <w:tcPr>
            <w:tcW w:w="2880" w:type="dxa"/>
            <w:vAlign w:val="center"/>
          </w:tcPr>
          <w:p w14:paraId="6692F348" w14:textId="213FDA69" w:rsidR="00CE0AFF" w:rsidRPr="00816DDD" w:rsidRDefault="005238CF" w:rsidP="00FA1A21">
            <w:pPr>
              <w:rPr>
                <w:spacing w:val="7"/>
                <w:sz w:val="20"/>
                <w:szCs w:val="20"/>
                <w:shd w:val="clear" w:color="auto" w:fill="FFFFFF"/>
              </w:rPr>
            </w:pPr>
            <w:r w:rsidRPr="00816DDD">
              <w:rPr>
                <w:spacing w:val="7"/>
                <w:sz w:val="20"/>
                <w:szCs w:val="20"/>
                <w:shd w:val="clear" w:color="auto" w:fill="FFFFFF"/>
              </w:rPr>
              <w:t>Initial/maintenance m</w:t>
            </w:r>
            <w:r w:rsidR="00CE0AFF" w:rsidRPr="00816DDD">
              <w:rPr>
                <w:spacing w:val="7"/>
                <w:sz w:val="20"/>
                <w:szCs w:val="20"/>
                <w:shd w:val="clear" w:color="auto" w:fill="FFFFFF"/>
              </w:rPr>
              <w:t>argins</w:t>
            </w:r>
          </w:p>
        </w:tc>
        <w:tc>
          <w:tcPr>
            <w:tcW w:w="6030" w:type="dxa"/>
          </w:tcPr>
          <w:p w14:paraId="2E8C084B" w14:textId="40E9BD8C" w:rsidR="00CE0AFF" w:rsidRPr="00816DDD" w:rsidRDefault="005238CF" w:rsidP="00FA1A21">
            <w:pPr>
              <w:rPr>
                <w:spacing w:val="7"/>
                <w:sz w:val="20"/>
                <w:szCs w:val="20"/>
                <w:shd w:val="clear" w:color="auto" w:fill="FFFFFF"/>
              </w:rPr>
            </w:pPr>
            <w:r w:rsidRPr="00816DDD">
              <w:rPr>
                <w:sz w:val="20"/>
                <w:szCs w:val="20"/>
                <w:shd w:val="clear" w:color="auto" w:fill="FFFFFF"/>
              </w:rPr>
              <w:t xml:space="preserve">USD </w:t>
            </w:r>
            <w:r w:rsidRPr="00816DDD">
              <w:rPr>
                <w:rFonts w:hint="cs"/>
                <w:sz w:val="20"/>
                <w:szCs w:val="20"/>
                <w:shd w:val="clear" w:color="auto" w:fill="FFFFFF"/>
              </w:rPr>
              <w:t>6,380</w:t>
            </w:r>
            <w:r w:rsidRPr="00816DDD">
              <w:rPr>
                <w:sz w:val="20"/>
                <w:szCs w:val="20"/>
                <w:shd w:val="clear" w:color="auto" w:fill="FFFFFF"/>
              </w:rPr>
              <w:t xml:space="preserve"> </w:t>
            </w:r>
            <w:r w:rsidRPr="00816DDD">
              <w:rPr>
                <w:rFonts w:hint="cs"/>
                <w:sz w:val="20"/>
                <w:szCs w:val="20"/>
                <w:shd w:val="clear" w:color="auto" w:fill="FFFFFF"/>
              </w:rPr>
              <w:t>/</w:t>
            </w:r>
            <w:r w:rsidRPr="00816DDD">
              <w:rPr>
                <w:sz w:val="20"/>
                <w:szCs w:val="20"/>
                <w:shd w:val="clear" w:color="auto" w:fill="FFFFFF"/>
              </w:rPr>
              <w:t xml:space="preserve"> USD </w:t>
            </w:r>
            <w:r w:rsidRPr="00816DDD">
              <w:rPr>
                <w:rFonts w:hint="cs"/>
                <w:sz w:val="20"/>
                <w:szCs w:val="20"/>
                <w:shd w:val="clear" w:color="auto" w:fill="FFFFFF"/>
              </w:rPr>
              <w:t>5,800</w:t>
            </w:r>
          </w:p>
        </w:tc>
      </w:tr>
      <w:tr w:rsidR="00816DDD" w:rsidRPr="00816DDD" w14:paraId="5324B33C" w14:textId="77777777" w:rsidTr="00AE414F">
        <w:tc>
          <w:tcPr>
            <w:tcW w:w="2880" w:type="dxa"/>
            <w:vAlign w:val="center"/>
          </w:tcPr>
          <w:p w14:paraId="6AFB0D56" w14:textId="2EA8B7A9" w:rsidR="00CE0AFF" w:rsidRPr="00816DDD" w:rsidRDefault="00CE0AFF" w:rsidP="00FA1A21">
            <w:pPr>
              <w:rPr>
                <w:spacing w:val="7"/>
                <w:sz w:val="20"/>
                <w:szCs w:val="20"/>
                <w:shd w:val="clear" w:color="auto" w:fill="FFFFFF"/>
              </w:rPr>
            </w:pPr>
            <w:r w:rsidRPr="00816DDD">
              <w:rPr>
                <w:spacing w:val="7"/>
                <w:sz w:val="20"/>
                <w:szCs w:val="20"/>
                <w:shd w:val="clear" w:color="auto" w:fill="FFFFFF"/>
              </w:rPr>
              <w:t>Listed contracts</w:t>
            </w:r>
          </w:p>
        </w:tc>
        <w:tc>
          <w:tcPr>
            <w:tcW w:w="6030" w:type="dxa"/>
          </w:tcPr>
          <w:p w14:paraId="3C3B89DD" w14:textId="51C84EAB" w:rsidR="00CE0AFF" w:rsidRPr="00816DDD" w:rsidRDefault="005238CF" w:rsidP="00FA1A21">
            <w:pPr>
              <w:rPr>
                <w:spacing w:val="7"/>
                <w:sz w:val="20"/>
                <w:szCs w:val="20"/>
                <w:shd w:val="clear" w:color="auto" w:fill="FFFFFF"/>
              </w:rPr>
            </w:pPr>
            <w:r w:rsidRPr="00816DDD">
              <w:rPr>
                <w:rFonts w:hint="cs"/>
                <w:sz w:val="20"/>
                <w:szCs w:val="20"/>
                <w:shd w:val="clear" w:color="auto" w:fill="FFFFFF"/>
              </w:rPr>
              <w:t xml:space="preserve">Monthly contracts for the next 10 years </w:t>
            </w:r>
            <w:r w:rsidR="008F2A17" w:rsidRPr="00816DDD">
              <w:rPr>
                <w:sz w:val="20"/>
                <w:szCs w:val="20"/>
                <w:shd w:val="clear" w:color="auto" w:fill="FFFFFF"/>
              </w:rPr>
              <w:t>and</w:t>
            </w:r>
            <w:r w:rsidRPr="00816DDD">
              <w:rPr>
                <w:rFonts w:hint="cs"/>
                <w:sz w:val="20"/>
                <w:szCs w:val="20"/>
                <w:shd w:val="clear" w:color="auto" w:fill="FFFFFF"/>
              </w:rPr>
              <w:t xml:space="preserve"> </w:t>
            </w:r>
            <w:r w:rsidR="00643A6C" w:rsidRPr="00816DDD">
              <w:rPr>
                <w:sz w:val="20"/>
                <w:szCs w:val="20"/>
                <w:shd w:val="clear" w:color="auto" w:fill="FFFFFF"/>
              </w:rPr>
              <w:t>two</w:t>
            </w:r>
            <w:r w:rsidRPr="00816DDD">
              <w:rPr>
                <w:rFonts w:hint="cs"/>
                <w:sz w:val="20"/>
                <w:szCs w:val="20"/>
                <w:shd w:val="clear" w:color="auto" w:fill="FFFFFF"/>
              </w:rPr>
              <w:t xml:space="preserve"> additional </w:t>
            </w:r>
            <w:r w:rsidR="00C57631" w:rsidRPr="00816DDD">
              <w:rPr>
                <w:rFonts w:hint="cs"/>
                <w:sz w:val="20"/>
                <w:szCs w:val="20"/>
                <w:shd w:val="clear" w:color="auto" w:fill="FFFFFF"/>
              </w:rPr>
              <w:t>monthly contracts</w:t>
            </w:r>
          </w:p>
        </w:tc>
      </w:tr>
      <w:tr w:rsidR="00816DDD" w:rsidRPr="00816DDD" w14:paraId="302ACFAA" w14:textId="77777777" w:rsidTr="00AE414F">
        <w:tc>
          <w:tcPr>
            <w:tcW w:w="2880" w:type="dxa"/>
            <w:vAlign w:val="center"/>
          </w:tcPr>
          <w:p w14:paraId="573EE972" w14:textId="710517E6" w:rsidR="00C57631" w:rsidRPr="00816DDD" w:rsidRDefault="00C57631" w:rsidP="00FA1A21">
            <w:pPr>
              <w:rPr>
                <w:spacing w:val="7"/>
                <w:sz w:val="20"/>
                <w:szCs w:val="20"/>
                <w:shd w:val="clear" w:color="auto" w:fill="FFFFFF"/>
              </w:rPr>
            </w:pPr>
            <w:r w:rsidRPr="00816DDD">
              <w:rPr>
                <w:spacing w:val="7"/>
                <w:sz w:val="20"/>
                <w:szCs w:val="20"/>
                <w:shd w:val="clear" w:color="auto" w:fill="FFFFFF"/>
              </w:rPr>
              <w:t>Last trading day</w:t>
            </w:r>
          </w:p>
        </w:tc>
        <w:tc>
          <w:tcPr>
            <w:tcW w:w="6030" w:type="dxa"/>
          </w:tcPr>
          <w:p w14:paraId="238E965A" w14:textId="0A7C9FAA" w:rsidR="00C57631" w:rsidRPr="00816DDD" w:rsidRDefault="00C57631" w:rsidP="00FA1A21">
            <w:pPr>
              <w:rPr>
                <w:spacing w:val="7"/>
                <w:sz w:val="20"/>
                <w:szCs w:val="20"/>
                <w:shd w:val="clear" w:color="auto" w:fill="FFFFFF"/>
              </w:rPr>
            </w:pPr>
            <w:r w:rsidRPr="00816DDD">
              <w:rPr>
                <w:rFonts w:hint="cs"/>
                <w:sz w:val="20"/>
                <w:szCs w:val="20"/>
                <w:shd w:val="clear" w:color="auto" w:fill="FFFFFF"/>
              </w:rPr>
              <w:t xml:space="preserve">Trading terminates at the close of business on the third business day </w:t>
            </w:r>
            <w:r w:rsidR="004C7F2A">
              <w:rPr>
                <w:sz w:val="20"/>
                <w:szCs w:val="20"/>
                <w:shd w:val="clear" w:color="auto" w:fill="FFFFFF"/>
              </w:rPr>
              <w:t>before</w:t>
            </w:r>
            <w:r w:rsidRPr="00816DDD">
              <w:rPr>
                <w:rFonts w:hint="cs"/>
                <w:sz w:val="20"/>
                <w:szCs w:val="20"/>
                <w:shd w:val="clear" w:color="auto" w:fill="FFFFFF"/>
              </w:rPr>
              <w:t xml:space="preserve"> the 25th calendar day of the month preceding the delivery month</w:t>
            </w:r>
          </w:p>
        </w:tc>
      </w:tr>
      <w:tr w:rsidR="00816DDD" w:rsidRPr="00816DDD" w14:paraId="57AC9275" w14:textId="77777777" w:rsidTr="00AE414F">
        <w:tc>
          <w:tcPr>
            <w:tcW w:w="2880" w:type="dxa"/>
            <w:vAlign w:val="center"/>
          </w:tcPr>
          <w:p w14:paraId="41FCD75E" w14:textId="7342E28E" w:rsidR="00CE0AFF" w:rsidRPr="00816DDD" w:rsidRDefault="00CE0AFF" w:rsidP="00FA1A21">
            <w:pPr>
              <w:rPr>
                <w:spacing w:val="7"/>
                <w:sz w:val="20"/>
                <w:szCs w:val="20"/>
                <w:shd w:val="clear" w:color="auto" w:fill="FFFFFF"/>
              </w:rPr>
            </w:pPr>
            <w:r w:rsidRPr="00816DDD">
              <w:rPr>
                <w:spacing w:val="7"/>
                <w:sz w:val="20"/>
                <w:szCs w:val="20"/>
                <w:shd w:val="clear" w:color="auto" w:fill="FFFFFF"/>
              </w:rPr>
              <w:t>Settlement method</w:t>
            </w:r>
          </w:p>
        </w:tc>
        <w:tc>
          <w:tcPr>
            <w:tcW w:w="6030" w:type="dxa"/>
          </w:tcPr>
          <w:p w14:paraId="1BDF116F" w14:textId="2511ADF8" w:rsidR="00CE0AFF" w:rsidRPr="00816DDD" w:rsidRDefault="005238CF" w:rsidP="00FA1A21">
            <w:pPr>
              <w:rPr>
                <w:spacing w:val="7"/>
                <w:sz w:val="20"/>
                <w:szCs w:val="20"/>
                <w:shd w:val="clear" w:color="auto" w:fill="FFFFFF"/>
              </w:rPr>
            </w:pPr>
            <w:r w:rsidRPr="00816DDD">
              <w:rPr>
                <w:spacing w:val="7"/>
                <w:sz w:val="20"/>
                <w:szCs w:val="20"/>
                <w:shd w:val="clear" w:color="auto" w:fill="FFFFFF"/>
              </w:rPr>
              <w:t>Delivery</w:t>
            </w:r>
          </w:p>
        </w:tc>
      </w:tr>
      <w:tr w:rsidR="00816DDD" w:rsidRPr="00816DDD" w14:paraId="6F006BFB" w14:textId="77777777" w:rsidTr="00AE414F">
        <w:tc>
          <w:tcPr>
            <w:tcW w:w="2880" w:type="dxa"/>
            <w:vAlign w:val="center"/>
          </w:tcPr>
          <w:p w14:paraId="127B891E" w14:textId="47B7F713" w:rsidR="00CE0AFF" w:rsidRPr="00816DDD" w:rsidRDefault="00CE0AFF" w:rsidP="00FA1A21">
            <w:pPr>
              <w:rPr>
                <w:spacing w:val="7"/>
                <w:sz w:val="20"/>
                <w:szCs w:val="20"/>
                <w:shd w:val="clear" w:color="auto" w:fill="FFFFFF"/>
              </w:rPr>
            </w:pPr>
            <w:r w:rsidRPr="00816DDD">
              <w:rPr>
                <w:spacing w:val="7"/>
                <w:sz w:val="20"/>
                <w:szCs w:val="20"/>
                <w:shd w:val="clear" w:color="auto" w:fill="FFFFFF"/>
              </w:rPr>
              <w:t>Grade and quality</w:t>
            </w:r>
          </w:p>
        </w:tc>
        <w:tc>
          <w:tcPr>
            <w:tcW w:w="6030" w:type="dxa"/>
          </w:tcPr>
          <w:p w14:paraId="28480BFB" w14:textId="3BC49F1E" w:rsidR="00CE0AFF" w:rsidRPr="00816DDD" w:rsidRDefault="00C57631" w:rsidP="00FA1A21">
            <w:pPr>
              <w:rPr>
                <w:spacing w:val="7"/>
                <w:sz w:val="20"/>
                <w:szCs w:val="20"/>
                <w:shd w:val="clear" w:color="auto" w:fill="FFFFFF"/>
              </w:rPr>
            </w:pPr>
            <w:r w:rsidRPr="00816DDD">
              <w:rPr>
                <w:spacing w:val="7"/>
                <w:sz w:val="20"/>
                <w:szCs w:val="20"/>
                <w:shd w:val="clear" w:color="auto" w:fill="FFFFFF"/>
              </w:rPr>
              <w:t>Light sweet crude</w:t>
            </w:r>
          </w:p>
        </w:tc>
      </w:tr>
      <w:tr w:rsidR="00816DDD" w:rsidRPr="00816DDD" w14:paraId="7801D417" w14:textId="77777777" w:rsidTr="00AE414F">
        <w:tc>
          <w:tcPr>
            <w:tcW w:w="2880" w:type="dxa"/>
            <w:vAlign w:val="center"/>
          </w:tcPr>
          <w:p w14:paraId="6068A693" w14:textId="4736465E" w:rsidR="00BE3597" w:rsidRPr="00816DDD" w:rsidRDefault="00BE3597" w:rsidP="00FA1A21">
            <w:pPr>
              <w:rPr>
                <w:spacing w:val="7"/>
                <w:sz w:val="20"/>
                <w:szCs w:val="20"/>
                <w:shd w:val="clear" w:color="auto" w:fill="FFFFFF"/>
              </w:rPr>
            </w:pPr>
            <w:r w:rsidRPr="00816DDD">
              <w:rPr>
                <w:spacing w:val="7"/>
                <w:sz w:val="20"/>
                <w:szCs w:val="20"/>
                <w:shd w:val="clear" w:color="auto" w:fill="FFFFFF"/>
              </w:rPr>
              <w:t>Delivery procedures</w:t>
            </w:r>
          </w:p>
        </w:tc>
        <w:tc>
          <w:tcPr>
            <w:tcW w:w="6030" w:type="dxa"/>
          </w:tcPr>
          <w:p w14:paraId="29CB517C" w14:textId="76916CB1" w:rsidR="00BE3597" w:rsidRPr="00816DDD" w:rsidRDefault="00BE3597" w:rsidP="00FA1A21">
            <w:pPr>
              <w:rPr>
                <w:spacing w:val="7"/>
                <w:sz w:val="20"/>
                <w:szCs w:val="20"/>
                <w:shd w:val="clear" w:color="auto" w:fill="FFFFFF"/>
              </w:rPr>
            </w:pPr>
            <w:r w:rsidRPr="00816DDD">
              <w:rPr>
                <w:spacing w:val="7"/>
                <w:sz w:val="20"/>
                <w:szCs w:val="20"/>
                <w:shd w:val="clear" w:color="auto" w:fill="FFFFFF"/>
              </w:rPr>
              <w:t>Delivery at a pipeline or storage facility in Cushing,</w:t>
            </w:r>
            <w:r w:rsidR="00B55885" w:rsidRPr="00816DDD">
              <w:rPr>
                <w:spacing w:val="7"/>
                <w:sz w:val="20"/>
                <w:szCs w:val="20"/>
                <w:shd w:val="clear" w:color="auto" w:fill="FFFFFF"/>
              </w:rPr>
              <w:t xml:space="preserve"> OK</w:t>
            </w:r>
            <w:r w:rsidRPr="00816DDD">
              <w:rPr>
                <w:spacing w:val="7"/>
                <w:sz w:val="20"/>
                <w:szCs w:val="20"/>
                <w:shd w:val="clear" w:color="auto" w:fill="FFFFFF"/>
              </w:rPr>
              <w:t xml:space="preserve">, or </w:t>
            </w:r>
            <w:r w:rsidR="008F2A17" w:rsidRPr="00816DDD">
              <w:rPr>
                <w:spacing w:val="7"/>
                <w:sz w:val="20"/>
                <w:szCs w:val="20"/>
                <w:shd w:val="clear" w:color="auto" w:fill="FFFFFF"/>
              </w:rPr>
              <w:t xml:space="preserve">by </w:t>
            </w:r>
            <w:r w:rsidR="00CB79E2" w:rsidRPr="00816DDD">
              <w:rPr>
                <w:spacing w:val="7"/>
                <w:sz w:val="20"/>
                <w:szCs w:val="20"/>
                <w:shd w:val="clear" w:color="auto" w:fill="FFFFFF"/>
              </w:rPr>
              <w:t xml:space="preserve">an </w:t>
            </w:r>
            <w:r w:rsidR="008F2A17" w:rsidRPr="00816DDD">
              <w:rPr>
                <w:spacing w:val="7"/>
                <w:sz w:val="20"/>
                <w:szCs w:val="20"/>
                <w:shd w:val="clear" w:color="auto" w:fill="FFFFFF"/>
              </w:rPr>
              <w:t>alternative arrangement</w:t>
            </w:r>
            <w:r w:rsidRPr="00816DDD">
              <w:rPr>
                <w:spacing w:val="7"/>
                <w:sz w:val="20"/>
                <w:szCs w:val="20"/>
                <w:shd w:val="clear" w:color="auto" w:fill="FFFFFF"/>
              </w:rPr>
              <w:t xml:space="preserve"> acceptable to the buyer</w:t>
            </w:r>
          </w:p>
        </w:tc>
      </w:tr>
      <w:tr w:rsidR="00816DDD" w:rsidRPr="00816DDD" w14:paraId="32643E9F" w14:textId="77777777" w:rsidTr="00AE414F">
        <w:tc>
          <w:tcPr>
            <w:tcW w:w="2880" w:type="dxa"/>
            <w:vAlign w:val="center"/>
          </w:tcPr>
          <w:p w14:paraId="7E3B672D" w14:textId="2C18C5A0" w:rsidR="00BE3597" w:rsidRPr="00816DDD" w:rsidRDefault="00BE3597" w:rsidP="00FA1A21">
            <w:pPr>
              <w:rPr>
                <w:spacing w:val="7"/>
                <w:sz w:val="20"/>
                <w:szCs w:val="20"/>
                <w:shd w:val="clear" w:color="auto" w:fill="FFFFFF"/>
              </w:rPr>
            </w:pPr>
            <w:r w:rsidRPr="00816DDD">
              <w:rPr>
                <w:spacing w:val="7"/>
                <w:sz w:val="20"/>
                <w:szCs w:val="20"/>
                <w:shd w:val="clear" w:color="auto" w:fill="FFFFFF"/>
              </w:rPr>
              <w:t>Delivery period</w:t>
            </w:r>
          </w:p>
        </w:tc>
        <w:tc>
          <w:tcPr>
            <w:tcW w:w="6030" w:type="dxa"/>
          </w:tcPr>
          <w:p w14:paraId="47F2383C" w14:textId="6A0600F1" w:rsidR="00BE3597" w:rsidRPr="00816DDD" w:rsidRDefault="00BE3597" w:rsidP="00FA1A21">
            <w:pPr>
              <w:rPr>
                <w:spacing w:val="7"/>
                <w:sz w:val="20"/>
                <w:szCs w:val="20"/>
                <w:shd w:val="clear" w:color="auto" w:fill="FFFFFF"/>
              </w:rPr>
            </w:pPr>
            <w:r w:rsidRPr="00816DDD">
              <w:rPr>
                <w:spacing w:val="7"/>
                <w:sz w:val="20"/>
                <w:szCs w:val="20"/>
                <w:shd w:val="clear" w:color="auto" w:fill="FFFFFF"/>
              </w:rPr>
              <w:t xml:space="preserve">Available in Cushing, </w:t>
            </w:r>
            <w:r w:rsidR="00B55885" w:rsidRPr="00816DDD">
              <w:rPr>
                <w:spacing w:val="7"/>
                <w:sz w:val="20"/>
                <w:szCs w:val="20"/>
                <w:shd w:val="clear" w:color="auto" w:fill="FFFFFF"/>
              </w:rPr>
              <w:t>OK</w:t>
            </w:r>
            <w:r w:rsidR="00D235B9">
              <w:rPr>
                <w:spacing w:val="7"/>
                <w:sz w:val="20"/>
                <w:szCs w:val="20"/>
                <w:shd w:val="clear" w:color="auto" w:fill="FFFFFF"/>
              </w:rPr>
              <w:t>,</w:t>
            </w:r>
            <w:r w:rsidRPr="00816DDD">
              <w:rPr>
                <w:spacing w:val="7"/>
                <w:sz w:val="20"/>
                <w:szCs w:val="20"/>
                <w:shd w:val="clear" w:color="auto" w:fill="FFFFFF"/>
              </w:rPr>
              <w:t xml:space="preserve"> on the first calendar day of the month of delivery for delivery anytime during the month </w:t>
            </w:r>
            <w:r w:rsidR="009A7EBD" w:rsidRPr="00816DDD">
              <w:rPr>
                <w:spacing w:val="7"/>
                <w:sz w:val="20"/>
                <w:szCs w:val="20"/>
                <w:shd w:val="clear" w:color="auto" w:fill="FFFFFF"/>
              </w:rPr>
              <w:t>and</w:t>
            </w:r>
            <w:r w:rsidRPr="00816DDD">
              <w:rPr>
                <w:spacing w:val="7"/>
                <w:sz w:val="20"/>
                <w:szCs w:val="20"/>
                <w:shd w:val="clear" w:color="auto" w:fill="FFFFFF"/>
              </w:rPr>
              <w:t xml:space="preserve"> </w:t>
            </w:r>
            <w:r w:rsidR="008F7037">
              <w:rPr>
                <w:spacing w:val="7"/>
                <w:sz w:val="20"/>
                <w:szCs w:val="20"/>
                <w:shd w:val="clear" w:color="auto" w:fill="FFFFFF"/>
              </w:rPr>
              <w:t xml:space="preserve">the </w:t>
            </w:r>
            <w:r w:rsidRPr="00816DDD">
              <w:rPr>
                <w:spacing w:val="7"/>
                <w:sz w:val="20"/>
                <w:szCs w:val="20"/>
                <w:shd w:val="clear" w:color="auto" w:fill="FFFFFF"/>
              </w:rPr>
              <w:t>title is transferred when payment is received</w:t>
            </w:r>
            <w:r w:rsidR="004C7F2A">
              <w:rPr>
                <w:spacing w:val="7"/>
                <w:sz w:val="20"/>
                <w:szCs w:val="20"/>
                <w:shd w:val="clear" w:color="auto" w:fill="FFFFFF"/>
              </w:rPr>
              <w:t>.</w:t>
            </w:r>
          </w:p>
        </w:tc>
      </w:tr>
    </w:tbl>
    <w:p w14:paraId="1C90B34C" w14:textId="77777777" w:rsidR="00EF37D6" w:rsidRPr="00816DDD" w:rsidRDefault="00EF37D6" w:rsidP="00A77824">
      <w:pPr>
        <w:shd w:val="clear" w:color="auto" w:fill="FFFFFF"/>
        <w:spacing w:after="0" w:line="240" w:lineRule="auto"/>
        <w:rPr>
          <w:spacing w:val="7"/>
          <w:shd w:val="clear" w:color="auto" w:fill="FFFFFF"/>
        </w:rPr>
      </w:pPr>
    </w:p>
    <w:p w14:paraId="4F3BEA8B" w14:textId="38DC6744" w:rsidR="003A61E4" w:rsidRPr="00816DDD" w:rsidRDefault="000738AA" w:rsidP="00106AF7">
      <w:pPr>
        <w:shd w:val="clear" w:color="auto" w:fill="FFFFFF"/>
        <w:spacing w:after="0" w:line="240" w:lineRule="auto"/>
        <w:rPr>
          <w:rFonts w:eastAsia="Times New Roman"/>
          <w:spacing w:val="1"/>
          <w:szCs w:val="24"/>
        </w:rPr>
      </w:pPr>
      <w:r w:rsidRPr="00816DDD">
        <w:rPr>
          <w:rFonts w:eastAsia="Times New Roman"/>
          <w:spacing w:val="1"/>
          <w:szCs w:val="24"/>
        </w:rPr>
        <w:t xml:space="preserve">Exchanges </w:t>
      </w:r>
      <w:r w:rsidR="00CE0AFF" w:rsidRPr="00816DDD">
        <w:rPr>
          <w:rFonts w:eastAsia="Times New Roman"/>
          <w:spacing w:val="1"/>
          <w:szCs w:val="24"/>
        </w:rPr>
        <w:t>may</w:t>
      </w:r>
      <w:r w:rsidR="003A61E4" w:rsidRPr="00816DDD">
        <w:rPr>
          <w:rFonts w:eastAsia="Times New Roman"/>
          <w:spacing w:val="1"/>
          <w:szCs w:val="24"/>
        </w:rPr>
        <w:t xml:space="preserve"> </w:t>
      </w:r>
      <w:r w:rsidRPr="00816DDD">
        <w:rPr>
          <w:rFonts w:eastAsia="Times New Roman"/>
          <w:spacing w:val="1"/>
          <w:szCs w:val="24"/>
        </w:rPr>
        <w:t xml:space="preserve">use a </w:t>
      </w:r>
      <w:r w:rsidR="00881CBC" w:rsidRPr="00816DDD">
        <w:rPr>
          <w:rFonts w:eastAsia="Times New Roman"/>
          <w:spacing w:val="1"/>
          <w:szCs w:val="24"/>
        </w:rPr>
        <w:t xml:space="preserve">special </w:t>
      </w:r>
      <w:r w:rsidRPr="00816DDD">
        <w:rPr>
          <w:rFonts w:eastAsia="Times New Roman"/>
          <w:spacing w:val="1"/>
          <w:szCs w:val="24"/>
        </w:rPr>
        <w:t>notation to quickly describe</w:t>
      </w:r>
      <w:r w:rsidR="003A61E4" w:rsidRPr="00816DDD">
        <w:rPr>
          <w:rFonts w:eastAsia="Times New Roman"/>
          <w:spacing w:val="1"/>
          <w:szCs w:val="24"/>
        </w:rPr>
        <w:t xml:space="preserve"> what a contract is </w:t>
      </w:r>
      <w:r w:rsidR="000B481F" w:rsidRPr="00816DDD">
        <w:rPr>
          <w:rFonts w:eastAsia="Times New Roman"/>
          <w:spacing w:val="1"/>
          <w:szCs w:val="24"/>
        </w:rPr>
        <w:t xml:space="preserve">for </w:t>
      </w:r>
      <w:r w:rsidR="003A61E4" w:rsidRPr="00816DDD">
        <w:rPr>
          <w:rFonts w:eastAsia="Times New Roman"/>
          <w:spacing w:val="1"/>
          <w:szCs w:val="24"/>
        </w:rPr>
        <w:t xml:space="preserve">and when it expires. </w:t>
      </w:r>
      <w:r w:rsidR="00CB79E2" w:rsidRPr="00816DDD">
        <w:rPr>
          <w:rFonts w:eastAsia="Times New Roman"/>
          <w:spacing w:val="1"/>
          <w:szCs w:val="24"/>
        </w:rPr>
        <w:t xml:space="preserve"> </w:t>
      </w:r>
      <w:r w:rsidR="003A61E4" w:rsidRPr="00816DDD">
        <w:rPr>
          <w:rFonts w:eastAsia="Times New Roman"/>
          <w:spacing w:val="1"/>
          <w:szCs w:val="24"/>
        </w:rPr>
        <w:t xml:space="preserve">For </w:t>
      </w:r>
      <w:r w:rsidR="00F447CA" w:rsidRPr="00816DDD">
        <w:rPr>
          <w:rFonts w:eastAsia="Times New Roman"/>
          <w:spacing w:val="1"/>
          <w:szCs w:val="24"/>
        </w:rPr>
        <w:t>example, the</w:t>
      </w:r>
      <w:r w:rsidR="00F330E4" w:rsidRPr="00816DDD">
        <w:rPr>
          <w:rFonts w:eastAsia="Times New Roman"/>
          <w:spacing w:val="1"/>
          <w:szCs w:val="24"/>
        </w:rPr>
        <w:t xml:space="preserve"> WTI</w:t>
      </w:r>
      <w:r w:rsidR="00F447CA" w:rsidRPr="00816DDD">
        <w:rPr>
          <w:rFonts w:eastAsia="Times New Roman"/>
          <w:spacing w:val="1"/>
          <w:szCs w:val="24"/>
        </w:rPr>
        <w:t xml:space="preserve"> </w:t>
      </w:r>
      <w:r w:rsidR="00F7012A" w:rsidRPr="00816DDD">
        <w:rPr>
          <w:rFonts w:eastAsia="Times New Roman"/>
          <w:spacing w:val="1"/>
          <w:szCs w:val="24"/>
        </w:rPr>
        <w:t xml:space="preserve">Crude Oil </w:t>
      </w:r>
      <w:r w:rsidR="00F447CA" w:rsidRPr="00816DDD">
        <w:rPr>
          <w:rFonts w:eastAsia="Times New Roman"/>
          <w:spacing w:val="1"/>
          <w:szCs w:val="24"/>
        </w:rPr>
        <w:t>contract</w:t>
      </w:r>
      <w:r w:rsidR="008F2A17" w:rsidRPr="00816DDD">
        <w:rPr>
          <w:rFonts w:eastAsia="Times New Roman"/>
          <w:spacing w:val="1"/>
          <w:szCs w:val="24"/>
        </w:rPr>
        <w:t>’s</w:t>
      </w:r>
      <w:r w:rsidR="00F447CA" w:rsidRPr="00816DDD">
        <w:rPr>
          <w:rFonts w:eastAsia="Times New Roman"/>
          <w:spacing w:val="1"/>
          <w:szCs w:val="24"/>
        </w:rPr>
        <w:t xml:space="preserve"> notation CLZ24 means:</w:t>
      </w:r>
    </w:p>
    <w:p w14:paraId="2F768DFE" w14:textId="77777777" w:rsidR="003A61E4" w:rsidRPr="00816DDD" w:rsidRDefault="003A61E4" w:rsidP="00106AF7">
      <w:pPr>
        <w:shd w:val="clear" w:color="auto" w:fill="FFFFFF"/>
        <w:spacing w:after="0" w:line="240" w:lineRule="auto"/>
        <w:rPr>
          <w:rFonts w:eastAsia="Times New Roman"/>
          <w:spacing w:val="1"/>
          <w:szCs w:val="24"/>
        </w:rPr>
      </w:pPr>
    </w:p>
    <w:tbl>
      <w:tblPr>
        <w:tblStyle w:val="TableGrid"/>
        <w:tblW w:w="0" w:type="auto"/>
        <w:tblInd w:w="2425" w:type="dxa"/>
        <w:tblLook w:val="04A0" w:firstRow="1" w:lastRow="0" w:firstColumn="1" w:lastColumn="0" w:noHBand="0" w:noVBand="1"/>
      </w:tblPr>
      <w:tblGrid>
        <w:gridCol w:w="1890"/>
        <w:gridCol w:w="1890"/>
        <w:gridCol w:w="1710"/>
      </w:tblGrid>
      <w:tr w:rsidR="00A33C09" w:rsidRPr="00816DDD" w14:paraId="5F07FAAA" w14:textId="77777777" w:rsidTr="00F447CA">
        <w:tc>
          <w:tcPr>
            <w:tcW w:w="1890" w:type="dxa"/>
          </w:tcPr>
          <w:p w14:paraId="3BC67287" w14:textId="084BA451" w:rsidR="00A33C09" w:rsidRPr="00A33C09" w:rsidRDefault="00A33C09" w:rsidP="00A33C09">
            <w:pPr>
              <w:jc w:val="center"/>
              <w:rPr>
                <w:rFonts w:eastAsia="Times New Roman"/>
                <w:b/>
                <w:bCs/>
                <w:spacing w:val="1"/>
                <w:szCs w:val="24"/>
              </w:rPr>
            </w:pPr>
            <w:r w:rsidRPr="00A33C09">
              <w:rPr>
                <w:rFonts w:eastAsia="Times New Roman"/>
                <w:b/>
                <w:bCs/>
                <w:spacing w:val="1"/>
                <w:sz w:val="20"/>
                <w:szCs w:val="20"/>
              </w:rPr>
              <w:t>Contract Code</w:t>
            </w:r>
          </w:p>
        </w:tc>
        <w:tc>
          <w:tcPr>
            <w:tcW w:w="1890" w:type="dxa"/>
          </w:tcPr>
          <w:p w14:paraId="47248420" w14:textId="58EB7A1C" w:rsidR="00A33C09" w:rsidRPr="00A33C09" w:rsidRDefault="00A33C09" w:rsidP="00A33C09">
            <w:pPr>
              <w:jc w:val="center"/>
              <w:rPr>
                <w:rFonts w:eastAsia="Times New Roman"/>
                <w:b/>
                <w:bCs/>
                <w:spacing w:val="1"/>
                <w:szCs w:val="24"/>
              </w:rPr>
            </w:pPr>
            <w:r w:rsidRPr="00A33C09">
              <w:rPr>
                <w:rFonts w:eastAsia="Times New Roman"/>
                <w:b/>
                <w:bCs/>
                <w:spacing w:val="1"/>
                <w:sz w:val="20"/>
                <w:szCs w:val="20"/>
              </w:rPr>
              <w:t>Expiration Month</w:t>
            </w:r>
          </w:p>
        </w:tc>
        <w:tc>
          <w:tcPr>
            <w:tcW w:w="1710" w:type="dxa"/>
          </w:tcPr>
          <w:p w14:paraId="5EEDACB8" w14:textId="5CB87756" w:rsidR="00A33C09" w:rsidRPr="00A33C09" w:rsidRDefault="00A33C09" w:rsidP="00A33C09">
            <w:pPr>
              <w:jc w:val="center"/>
              <w:rPr>
                <w:rFonts w:eastAsia="Times New Roman"/>
                <w:b/>
                <w:bCs/>
                <w:spacing w:val="1"/>
                <w:szCs w:val="24"/>
              </w:rPr>
            </w:pPr>
            <w:r w:rsidRPr="00A33C09">
              <w:rPr>
                <w:rFonts w:eastAsia="Times New Roman"/>
                <w:b/>
                <w:bCs/>
                <w:spacing w:val="1"/>
                <w:sz w:val="20"/>
                <w:szCs w:val="20"/>
              </w:rPr>
              <w:t>Expiration Year</w:t>
            </w:r>
          </w:p>
        </w:tc>
      </w:tr>
      <w:tr w:rsidR="00A33C09" w:rsidRPr="00816DDD" w14:paraId="5CAB3BA2" w14:textId="77777777" w:rsidTr="00F447CA">
        <w:tc>
          <w:tcPr>
            <w:tcW w:w="1890" w:type="dxa"/>
          </w:tcPr>
          <w:p w14:paraId="1670453D" w14:textId="65DACBC2" w:rsidR="00A33C09" w:rsidRPr="00A33C09" w:rsidRDefault="00A33C09" w:rsidP="00A33C09">
            <w:pPr>
              <w:jc w:val="center"/>
              <w:rPr>
                <w:rFonts w:eastAsia="Times New Roman"/>
                <w:spacing w:val="1"/>
                <w:szCs w:val="24"/>
              </w:rPr>
            </w:pPr>
            <w:r w:rsidRPr="00A33C09">
              <w:rPr>
                <w:rFonts w:eastAsia="Times New Roman"/>
                <w:spacing w:val="1"/>
                <w:szCs w:val="24"/>
              </w:rPr>
              <w:t>CL</w:t>
            </w:r>
          </w:p>
        </w:tc>
        <w:tc>
          <w:tcPr>
            <w:tcW w:w="1890" w:type="dxa"/>
          </w:tcPr>
          <w:p w14:paraId="6C1CEA35" w14:textId="4661EAB2" w:rsidR="00A33C09" w:rsidRPr="00A33C09" w:rsidRDefault="00A33C09" w:rsidP="00A33C09">
            <w:pPr>
              <w:jc w:val="center"/>
              <w:rPr>
                <w:rFonts w:eastAsia="Times New Roman"/>
                <w:spacing w:val="1"/>
                <w:szCs w:val="24"/>
              </w:rPr>
            </w:pPr>
            <w:r w:rsidRPr="00A33C09">
              <w:rPr>
                <w:rFonts w:eastAsia="Times New Roman"/>
                <w:spacing w:val="1"/>
                <w:szCs w:val="24"/>
              </w:rPr>
              <w:t>Z</w:t>
            </w:r>
          </w:p>
        </w:tc>
        <w:tc>
          <w:tcPr>
            <w:tcW w:w="1710" w:type="dxa"/>
          </w:tcPr>
          <w:p w14:paraId="2C51E42C" w14:textId="6A84190F" w:rsidR="00A33C09" w:rsidRPr="00A33C09" w:rsidRDefault="00A33C09" w:rsidP="00A33C09">
            <w:pPr>
              <w:jc w:val="center"/>
              <w:rPr>
                <w:rFonts w:eastAsia="Times New Roman"/>
                <w:spacing w:val="1"/>
                <w:szCs w:val="24"/>
              </w:rPr>
            </w:pPr>
            <w:r w:rsidRPr="00A33C09">
              <w:rPr>
                <w:rFonts w:eastAsia="Times New Roman"/>
                <w:spacing w:val="1"/>
                <w:szCs w:val="24"/>
              </w:rPr>
              <w:t>24</w:t>
            </w:r>
          </w:p>
        </w:tc>
      </w:tr>
    </w:tbl>
    <w:p w14:paraId="54366487" w14:textId="45BB637D" w:rsidR="003A61E4" w:rsidRPr="00816DDD" w:rsidRDefault="000738AA" w:rsidP="00106AF7">
      <w:pPr>
        <w:shd w:val="clear" w:color="auto" w:fill="FFFFFF"/>
        <w:spacing w:after="0" w:line="240" w:lineRule="auto"/>
        <w:rPr>
          <w:rFonts w:eastAsia="Times New Roman"/>
          <w:spacing w:val="1"/>
          <w:szCs w:val="24"/>
        </w:rPr>
      </w:pPr>
      <w:r w:rsidRPr="00816DDD">
        <w:rPr>
          <w:rFonts w:eastAsia="Times New Roman"/>
          <w:spacing w:val="1"/>
          <w:szCs w:val="24"/>
        </w:rPr>
        <w:t xml:space="preserve"> </w:t>
      </w:r>
    </w:p>
    <w:p w14:paraId="1938F832" w14:textId="252FD5E1" w:rsidR="003A61E4" w:rsidRPr="00816DDD" w:rsidRDefault="003A61E4" w:rsidP="00106AF7">
      <w:pPr>
        <w:shd w:val="clear" w:color="auto" w:fill="FFFFFF"/>
        <w:spacing w:after="0" w:line="240" w:lineRule="auto"/>
        <w:rPr>
          <w:rFonts w:eastAsia="Times New Roman"/>
          <w:spacing w:val="1"/>
          <w:szCs w:val="24"/>
        </w:rPr>
      </w:pPr>
      <w:r w:rsidRPr="00816DDD">
        <w:rPr>
          <w:rFonts w:eastAsia="Times New Roman"/>
          <w:spacing w:val="1"/>
          <w:szCs w:val="24"/>
        </w:rPr>
        <w:t xml:space="preserve">Instead of numbering the months, </w:t>
      </w:r>
      <w:r w:rsidR="00CD710F" w:rsidRPr="00816DDD">
        <w:rPr>
          <w:rFonts w:eastAsia="Times New Roman"/>
          <w:spacing w:val="1"/>
          <w:szCs w:val="24"/>
        </w:rPr>
        <w:t xml:space="preserve">these </w:t>
      </w:r>
      <w:r w:rsidRPr="00816DDD">
        <w:rPr>
          <w:rFonts w:eastAsia="Times New Roman"/>
          <w:spacing w:val="1"/>
          <w:szCs w:val="24"/>
        </w:rPr>
        <w:t>letters are used</w:t>
      </w:r>
      <w:r w:rsidR="00CD710F" w:rsidRPr="00816DDD">
        <w:rPr>
          <w:rFonts w:eastAsia="Times New Roman"/>
          <w:spacing w:val="1"/>
          <w:szCs w:val="24"/>
        </w:rPr>
        <w:t>:</w:t>
      </w:r>
    </w:p>
    <w:p w14:paraId="03B23A80" w14:textId="77777777" w:rsidR="003A61E4" w:rsidRPr="00816DDD" w:rsidRDefault="003A61E4" w:rsidP="00106AF7">
      <w:pPr>
        <w:shd w:val="clear" w:color="auto" w:fill="FFFFFF"/>
        <w:spacing w:after="0" w:line="240" w:lineRule="auto"/>
        <w:rPr>
          <w:rFonts w:eastAsia="Times New Roman"/>
          <w:spacing w:val="1"/>
          <w:szCs w:val="24"/>
        </w:rPr>
      </w:pPr>
    </w:p>
    <w:tbl>
      <w:tblPr>
        <w:tblStyle w:val="TableGrid"/>
        <w:tblW w:w="0" w:type="auto"/>
        <w:tblInd w:w="805" w:type="dxa"/>
        <w:tblLook w:val="04A0" w:firstRow="1" w:lastRow="0" w:firstColumn="1" w:lastColumn="0" w:noHBand="0" w:noVBand="1"/>
      </w:tblPr>
      <w:tblGrid>
        <w:gridCol w:w="715"/>
        <w:gridCol w:w="720"/>
        <w:gridCol w:w="720"/>
        <w:gridCol w:w="720"/>
        <w:gridCol w:w="704"/>
        <w:gridCol w:w="650"/>
        <w:gridCol w:w="716"/>
        <w:gridCol w:w="720"/>
        <w:gridCol w:w="720"/>
        <w:gridCol w:w="720"/>
        <w:gridCol w:w="729"/>
        <w:gridCol w:w="711"/>
      </w:tblGrid>
      <w:tr w:rsidR="00816DDD" w:rsidRPr="00816DDD" w14:paraId="194C73A6" w14:textId="77777777" w:rsidTr="008F7037">
        <w:tc>
          <w:tcPr>
            <w:tcW w:w="715" w:type="dxa"/>
          </w:tcPr>
          <w:p w14:paraId="15B53202" w14:textId="51736DC1"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JAN</w:t>
            </w:r>
          </w:p>
        </w:tc>
        <w:tc>
          <w:tcPr>
            <w:tcW w:w="720" w:type="dxa"/>
          </w:tcPr>
          <w:p w14:paraId="634C3105" w14:textId="72C5AC08"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FEB</w:t>
            </w:r>
          </w:p>
        </w:tc>
        <w:tc>
          <w:tcPr>
            <w:tcW w:w="720" w:type="dxa"/>
          </w:tcPr>
          <w:p w14:paraId="7D0172CA" w14:textId="41DF8A03"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MAR</w:t>
            </w:r>
          </w:p>
        </w:tc>
        <w:tc>
          <w:tcPr>
            <w:tcW w:w="720" w:type="dxa"/>
          </w:tcPr>
          <w:p w14:paraId="3B9DB7C1" w14:textId="23E9606D"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APR</w:t>
            </w:r>
          </w:p>
        </w:tc>
        <w:tc>
          <w:tcPr>
            <w:tcW w:w="704" w:type="dxa"/>
          </w:tcPr>
          <w:p w14:paraId="2C9F3112" w14:textId="42B05DD9"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MAY</w:t>
            </w:r>
          </w:p>
        </w:tc>
        <w:tc>
          <w:tcPr>
            <w:tcW w:w="650" w:type="dxa"/>
          </w:tcPr>
          <w:p w14:paraId="722A3DBA" w14:textId="39165FBF"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JUN</w:t>
            </w:r>
          </w:p>
        </w:tc>
        <w:tc>
          <w:tcPr>
            <w:tcW w:w="716" w:type="dxa"/>
          </w:tcPr>
          <w:p w14:paraId="598EFFA1" w14:textId="2FB463D7"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JUL</w:t>
            </w:r>
          </w:p>
        </w:tc>
        <w:tc>
          <w:tcPr>
            <w:tcW w:w="720" w:type="dxa"/>
          </w:tcPr>
          <w:p w14:paraId="5DF1B574" w14:textId="2F2393A1"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AUG</w:t>
            </w:r>
          </w:p>
        </w:tc>
        <w:tc>
          <w:tcPr>
            <w:tcW w:w="720" w:type="dxa"/>
          </w:tcPr>
          <w:p w14:paraId="1CCB078C" w14:textId="1BF84662"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SEP</w:t>
            </w:r>
          </w:p>
        </w:tc>
        <w:tc>
          <w:tcPr>
            <w:tcW w:w="720" w:type="dxa"/>
          </w:tcPr>
          <w:p w14:paraId="33ED489F" w14:textId="60A525C4"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OCT</w:t>
            </w:r>
          </w:p>
        </w:tc>
        <w:tc>
          <w:tcPr>
            <w:tcW w:w="729" w:type="dxa"/>
          </w:tcPr>
          <w:p w14:paraId="3107CF88" w14:textId="5D0C3AA1"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NOV</w:t>
            </w:r>
          </w:p>
        </w:tc>
        <w:tc>
          <w:tcPr>
            <w:tcW w:w="711" w:type="dxa"/>
          </w:tcPr>
          <w:p w14:paraId="13B17118" w14:textId="44ECCBA0" w:rsidR="003A61E4" w:rsidRPr="00A33C09" w:rsidRDefault="005F6831" w:rsidP="005F6831">
            <w:pPr>
              <w:jc w:val="center"/>
              <w:rPr>
                <w:rFonts w:eastAsia="Times New Roman"/>
                <w:b/>
                <w:bCs/>
                <w:spacing w:val="1"/>
                <w:sz w:val="20"/>
                <w:szCs w:val="20"/>
              </w:rPr>
            </w:pPr>
            <w:r w:rsidRPr="00A33C09">
              <w:rPr>
                <w:rFonts w:eastAsia="Times New Roman"/>
                <w:b/>
                <w:bCs/>
                <w:spacing w:val="1"/>
                <w:sz w:val="20"/>
                <w:szCs w:val="20"/>
              </w:rPr>
              <w:t>DEC</w:t>
            </w:r>
          </w:p>
        </w:tc>
      </w:tr>
      <w:tr w:rsidR="00816DDD" w:rsidRPr="00816DDD" w14:paraId="1F2D82B8" w14:textId="77777777" w:rsidTr="008F7037">
        <w:tc>
          <w:tcPr>
            <w:tcW w:w="715" w:type="dxa"/>
          </w:tcPr>
          <w:p w14:paraId="24FD5730" w14:textId="4B4C8B79"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F</w:t>
            </w:r>
          </w:p>
        </w:tc>
        <w:tc>
          <w:tcPr>
            <w:tcW w:w="720" w:type="dxa"/>
          </w:tcPr>
          <w:p w14:paraId="2606828A" w14:textId="528F6C56"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G</w:t>
            </w:r>
          </w:p>
        </w:tc>
        <w:tc>
          <w:tcPr>
            <w:tcW w:w="720" w:type="dxa"/>
          </w:tcPr>
          <w:p w14:paraId="62CAA127" w14:textId="633BEEBD"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H</w:t>
            </w:r>
          </w:p>
        </w:tc>
        <w:tc>
          <w:tcPr>
            <w:tcW w:w="720" w:type="dxa"/>
          </w:tcPr>
          <w:p w14:paraId="129537C7" w14:textId="7884065C"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J</w:t>
            </w:r>
          </w:p>
        </w:tc>
        <w:tc>
          <w:tcPr>
            <w:tcW w:w="704" w:type="dxa"/>
          </w:tcPr>
          <w:p w14:paraId="01898245" w14:textId="010E7864"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K</w:t>
            </w:r>
          </w:p>
        </w:tc>
        <w:tc>
          <w:tcPr>
            <w:tcW w:w="650" w:type="dxa"/>
          </w:tcPr>
          <w:p w14:paraId="135754A8" w14:textId="1BF77233"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M</w:t>
            </w:r>
          </w:p>
        </w:tc>
        <w:tc>
          <w:tcPr>
            <w:tcW w:w="716" w:type="dxa"/>
          </w:tcPr>
          <w:p w14:paraId="18575E5E" w14:textId="620D0F0A"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N</w:t>
            </w:r>
          </w:p>
        </w:tc>
        <w:tc>
          <w:tcPr>
            <w:tcW w:w="720" w:type="dxa"/>
          </w:tcPr>
          <w:p w14:paraId="6ACBF701" w14:textId="622F8C02"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Q</w:t>
            </w:r>
          </w:p>
        </w:tc>
        <w:tc>
          <w:tcPr>
            <w:tcW w:w="720" w:type="dxa"/>
          </w:tcPr>
          <w:p w14:paraId="2DCFC20F" w14:textId="082187A5"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U</w:t>
            </w:r>
          </w:p>
        </w:tc>
        <w:tc>
          <w:tcPr>
            <w:tcW w:w="720" w:type="dxa"/>
          </w:tcPr>
          <w:p w14:paraId="16548FD8" w14:textId="38CF342E"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V</w:t>
            </w:r>
          </w:p>
        </w:tc>
        <w:tc>
          <w:tcPr>
            <w:tcW w:w="729" w:type="dxa"/>
          </w:tcPr>
          <w:p w14:paraId="451F1581" w14:textId="3DD56112"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X</w:t>
            </w:r>
          </w:p>
        </w:tc>
        <w:tc>
          <w:tcPr>
            <w:tcW w:w="711" w:type="dxa"/>
          </w:tcPr>
          <w:p w14:paraId="5488CD01" w14:textId="3139BE5C" w:rsidR="003A61E4" w:rsidRPr="00A33C09" w:rsidRDefault="005F6831" w:rsidP="005F6831">
            <w:pPr>
              <w:jc w:val="center"/>
              <w:rPr>
                <w:rFonts w:eastAsia="Times New Roman"/>
                <w:spacing w:val="1"/>
                <w:sz w:val="20"/>
                <w:szCs w:val="20"/>
              </w:rPr>
            </w:pPr>
            <w:r w:rsidRPr="00A33C09">
              <w:rPr>
                <w:rFonts w:eastAsia="Times New Roman"/>
                <w:spacing w:val="1"/>
                <w:sz w:val="20"/>
                <w:szCs w:val="20"/>
              </w:rPr>
              <w:t>Z</w:t>
            </w:r>
          </w:p>
        </w:tc>
      </w:tr>
    </w:tbl>
    <w:p w14:paraId="36A0051C" w14:textId="77777777" w:rsidR="00F447CA" w:rsidRPr="00816DDD" w:rsidRDefault="00F447CA" w:rsidP="004D6C86">
      <w:pPr>
        <w:spacing w:after="0" w:line="240" w:lineRule="auto"/>
        <w:rPr>
          <w:b/>
          <w:bCs/>
          <w:szCs w:val="24"/>
        </w:rPr>
      </w:pPr>
    </w:p>
    <w:p w14:paraId="2F50864C" w14:textId="6EF4B599" w:rsidR="00CA1BB6" w:rsidRPr="00816DDD" w:rsidRDefault="004A2128" w:rsidP="004D6C86">
      <w:pPr>
        <w:spacing w:after="0" w:line="240" w:lineRule="auto"/>
        <w:rPr>
          <w:szCs w:val="24"/>
        </w:rPr>
      </w:pPr>
      <w:r w:rsidRPr="00816DDD">
        <w:rPr>
          <w:szCs w:val="24"/>
        </w:rPr>
        <w:t>Exhibit 1</w:t>
      </w:r>
      <w:r w:rsidR="00252DEB" w:rsidRPr="00816DDD">
        <w:rPr>
          <w:szCs w:val="24"/>
        </w:rPr>
        <w:t>6</w:t>
      </w:r>
      <w:r w:rsidRPr="00816DDD">
        <w:rPr>
          <w:szCs w:val="24"/>
        </w:rPr>
        <w:t xml:space="preserve"> </w:t>
      </w:r>
      <w:r w:rsidR="00846F1E" w:rsidRPr="00816DDD">
        <w:rPr>
          <w:szCs w:val="24"/>
        </w:rPr>
        <w:t xml:space="preserve">provides </w:t>
      </w:r>
      <w:r w:rsidR="008F2A17" w:rsidRPr="00816DDD">
        <w:rPr>
          <w:szCs w:val="24"/>
        </w:rPr>
        <w:t xml:space="preserve">select </w:t>
      </w:r>
      <w:r w:rsidR="00AC5B80" w:rsidRPr="00816DDD">
        <w:rPr>
          <w:szCs w:val="24"/>
        </w:rPr>
        <w:t xml:space="preserve">price </w:t>
      </w:r>
      <w:r w:rsidR="008F2A17" w:rsidRPr="00816DDD">
        <w:rPr>
          <w:szCs w:val="24"/>
        </w:rPr>
        <w:t xml:space="preserve">and volume </w:t>
      </w:r>
      <w:r w:rsidR="00252DEB" w:rsidRPr="00816DDD">
        <w:rPr>
          <w:szCs w:val="24"/>
        </w:rPr>
        <w:t>quotations for</w:t>
      </w:r>
      <w:r w:rsidR="00AC5B80" w:rsidRPr="00816DDD">
        <w:rPr>
          <w:szCs w:val="24"/>
        </w:rPr>
        <w:t xml:space="preserve"> </w:t>
      </w:r>
      <w:r w:rsidR="00881CBC" w:rsidRPr="00816DDD">
        <w:rPr>
          <w:szCs w:val="24"/>
        </w:rPr>
        <w:t>the WTI Crude Oil (CL) contract</w:t>
      </w:r>
      <w:r w:rsidR="008F2A17" w:rsidRPr="00816DDD">
        <w:rPr>
          <w:szCs w:val="24"/>
        </w:rPr>
        <w:t xml:space="preserve">s expiring in September, October, November, and December of 2023.  As </w:t>
      </w:r>
      <w:r w:rsidR="007E174F" w:rsidRPr="00816DDD">
        <w:rPr>
          <w:szCs w:val="24"/>
        </w:rPr>
        <w:t>noted i</w:t>
      </w:r>
      <w:r w:rsidR="00CA1BB6" w:rsidRPr="00816DDD">
        <w:rPr>
          <w:szCs w:val="24"/>
        </w:rPr>
        <w:t xml:space="preserve">n </w:t>
      </w:r>
      <w:r w:rsidR="007E174F" w:rsidRPr="00816DDD">
        <w:rPr>
          <w:szCs w:val="24"/>
        </w:rPr>
        <w:t xml:space="preserve">Exhibit 15 under Listed Contracts, contracts are offered that expire each </w:t>
      </w:r>
      <w:r w:rsidR="00CA1BB6" w:rsidRPr="00816DDD">
        <w:rPr>
          <w:szCs w:val="24"/>
        </w:rPr>
        <w:t xml:space="preserve">month over </w:t>
      </w:r>
      <w:r w:rsidR="007E174F" w:rsidRPr="00816DDD">
        <w:rPr>
          <w:szCs w:val="24"/>
        </w:rPr>
        <w:t>the next ten years</w:t>
      </w:r>
      <w:r w:rsidR="004C7F2A">
        <w:rPr>
          <w:szCs w:val="24"/>
        </w:rPr>
        <w:t xml:space="preserve"> so that</w:t>
      </w:r>
      <w:r w:rsidR="00CA1BB6" w:rsidRPr="00816DDD">
        <w:rPr>
          <w:szCs w:val="24"/>
        </w:rPr>
        <w:t xml:space="preserve"> companies can hedge the price of WTI crude oil for up to 10 years.  For other commodities, contracts may only be available for </w:t>
      </w:r>
      <w:r w:rsidR="00465D32" w:rsidRPr="00816DDD">
        <w:rPr>
          <w:szCs w:val="24"/>
        </w:rPr>
        <w:t>certain months</w:t>
      </w:r>
      <w:r w:rsidR="007F19CA" w:rsidRPr="00816DDD">
        <w:rPr>
          <w:szCs w:val="24"/>
        </w:rPr>
        <w:t xml:space="preserve"> depending on the needs of investors.  For example, the canola contracts offered by Intercontinental Exchange (ICE) expire eac</w:t>
      </w:r>
      <w:r w:rsidR="007F19CA" w:rsidRPr="00816DDD">
        <w:rPr>
          <w:rFonts w:hint="cs"/>
          <w:szCs w:val="24"/>
        </w:rPr>
        <w:t xml:space="preserve">h </w:t>
      </w:r>
      <w:r w:rsidR="007F19CA" w:rsidRPr="00816DDD">
        <w:rPr>
          <w:rFonts w:hint="cs"/>
          <w:szCs w:val="24"/>
          <w:shd w:val="clear" w:color="auto" w:fill="FFFFFF"/>
        </w:rPr>
        <w:t>January, March, May, July, and November.</w:t>
      </w:r>
    </w:p>
    <w:p w14:paraId="7DC800F7" w14:textId="77777777" w:rsidR="00CA1BB6" w:rsidRPr="00816DDD" w:rsidRDefault="00CA1BB6" w:rsidP="004D6C86">
      <w:pPr>
        <w:spacing w:after="0" w:line="240" w:lineRule="auto"/>
        <w:rPr>
          <w:szCs w:val="24"/>
        </w:rPr>
      </w:pPr>
    </w:p>
    <w:p w14:paraId="55ABC4D8" w14:textId="7362091C" w:rsidR="00EF37D6" w:rsidRPr="00816DDD" w:rsidRDefault="00EF37D6" w:rsidP="00EF37D6">
      <w:pPr>
        <w:spacing w:after="0" w:line="240" w:lineRule="auto"/>
        <w:jc w:val="center"/>
        <w:rPr>
          <w:b/>
          <w:bCs/>
          <w:sz w:val="20"/>
          <w:szCs w:val="20"/>
        </w:rPr>
      </w:pPr>
      <w:r w:rsidRPr="00816DDD">
        <w:rPr>
          <w:b/>
          <w:bCs/>
          <w:sz w:val="20"/>
          <w:szCs w:val="20"/>
        </w:rPr>
        <w:t>Exhibit 1</w:t>
      </w:r>
      <w:r w:rsidR="00BD174E" w:rsidRPr="00816DDD">
        <w:rPr>
          <w:b/>
          <w:bCs/>
          <w:sz w:val="20"/>
          <w:szCs w:val="20"/>
        </w:rPr>
        <w:t>7</w:t>
      </w:r>
      <w:r w:rsidRPr="00816DDD">
        <w:rPr>
          <w:b/>
          <w:bCs/>
          <w:sz w:val="20"/>
          <w:szCs w:val="20"/>
        </w:rPr>
        <w:t>:</w:t>
      </w:r>
      <w:r w:rsidR="008F2A17" w:rsidRPr="00816DDD">
        <w:rPr>
          <w:b/>
          <w:bCs/>
          <w:sz w:val="20"/>
          <w:szCs w:val="20"/>
        </w:rPr>
        <w:t xml:space="preserve"> Price and Volume Quotations</w:t>
      </w:r>
    </w:p>
    <w:p w14:paraId="5CF5639A" w14:textId="77777777" w:rsidR="00881CBC" w:rsidRPr="00816DDD" w:rsidRDefault="00881CBC" w:rsidP="004D6C86">
      <w:pPr>
        <w:spacing w:after="0" w:line="240" w:lineRule="auto"/>
        <w:rPr>
          <w:szCs w:val="24"/>
        </w:rPr>
      </w:pPr>
    </w:p>
    <w:tbl>
      <w:tblPr>
        <w:tblStyle w:val="TableGrid"/>
        <w:tblW w:w="0" w:type="auto"/>
        <w:tblInd w:w="535" w:type="dxa"/>
        <w:tblLook w:val="04A0" w:firstRow="1" w:lastRow="0" w:firstColumn="1" w:lastColumn="0" w:noHBand="0" w:noVBand="1"/>
      </w:tblPr>
      <w:tblGrid>
        <w:gridCol w:w="1023"/>
        <w:gridCol w:w="952"/>
        <w:gridCol w:w="990"/>
        <w:gridCol w:w="990"/>
        <w:gridCol w:w="990"/>
        <w:gridCol w:w="990"/>
        <w:gridCol w:w="1031"/>
        <w:gridCol w:w="949"/>
        <w:gridCol w:w="1085"/>
      </w:tblGrid>
      <w:tr w:rsidR="00816DDD" w:rsidRPr="00816DDD" w14:paraId="305D19E8" w14:textId="77777777" w:rsidTr="00F7012A">
        <w:tc>
          <w:tcPr>
            <w:tcW w:w="1023" w:type="dxa"/>
            <w:vAlign w:val="center"/>
          </w:tcPr>
          <w:p w14:paraId="2E704E6A" w14:textId="098E855E" w:rsidR="00E71DA6" w:rsidRPr="00816DDD" w:rsidRDefault="00E71DA6" w:rsidP="00E71DA6">
            <w:pPr>
              <w:jc w:val="center"/>
              <w:rPr>
                <w:b/>
                <w:bCs/>
                <w:sz w:val="20"/>
                <w:szCs w:val="20"/>
              </w:rPr>
            </w:pPr>
            <w:r w:rsidRPr="00816DDD">
              <w:rPr>
                <w:b/>
                <w:bCs/>
                <w:sz w:val="20"/>
                <w:szCs w:val="20"/>
              </w:rPr>
              <w:t>Contract</w:t>
            </w:r>
          </w:p>
        </w:tc>
        <w:tc>
          <w:tcPr>
            <w:tcW w:w="952" w:type="dxa"/>
            <w:vAlign w:val="center"/>
          </w:tcPr>
          <w:p w14:paraId="257D157F" w14:textId="4D3C38B0" w:rsidR="00E71DA6" w:rsidRPr="00816DDD" w:rsidRDefault="00E71DA6" w:rsidP="00E71DA6">
            <w:pPr>
              <w:jc w:val="center"/>
              <w:rPr>
                <w:b/>
                <w:bCs/>
                <w:sz w:val="20"/>
                <w:szCs w:val="20"/>
              </w:rPr>
            </w:pPr>
            <w:r w:rsidRPr="00816DDD">
              <w:rPr>
                <w:b/>
                <w:bCs/>
                <w:sz w:val="20"/>
                <w:szCs w:val="20"/>
              </w:rPr>
              <w:t>Last</w:t>
            </w:r>
          </w:p>
        </w:tc>
        <w:tc>
          <w:tcPr>
            <w:tcW w:w="990" w:type="dxa"/>
            <w:vAlign w:val="center"/>
          </w:tcPr>
          <w:p w14:paraId="4AAE6C92" w14:textId="2875C804" w:rsidR="00E71DA6" w:rsidRPr="00816DDD" w:rsidRDefault="00E71DA6" w:rsidP="00E71DA6">
            <w:pPr>
              <w:jc w:val="center"/>
              <w:rPr>
                <w:b/>
                <w:bCs/>
                <w:sz w:val="20"/>
                <w:szCs w:val="20"/>
              </w:rPr>
            </w:pPr>
            <w:r w:rsidRPr="00816DDD">
              <w:rPr>
                <w:b/>
                <w:bCs/>
                <w:sz w:val="20"/>
                <w:szCs w:val="20"/>
              </w:rPr>
              <w:t>Change</w:t>
            </w:r>
          </w:p>
        </w:tc>
        <w:tc>
          <w:tcPr>
            <w:tcW w:w="990" w:type="dxa"/>
            <w:vAlign w:val="center"/>
          </w:tcPr>
          <w:p w14:paraId="2088092A" w14:textId="3BBD131B" w:rsidR="00E71DA6" w:rsidRPr="00816DDD" w:rsidRDefault="00E71DA6" w:rsidP="00E71DA6">
            <w:pPr>
              <w:jc w:val="center"/>
              <w:rPr>
                <w:b/>
                <w:bCs/>
                <w:sz w:val="20"/>
                <w:szCs w:val="20"/>
              </w:rPr>
            </w:pPr>
            <w:r w:rsidRPr="00816DDD">
              <w:rPr>
                <w:b/>
                <w:bCs/>
                <w:sz w:val="20"/>
                <w:szCs w:val="20"/>
              </w:rPr>
              <w:t>Open</w:t>
            </w:r>
          </w:p>
        </w:tc>
        <w:tc>
          <w:tcPr>
            <w:tcW w:w="990" w:type="dxa"/>
            <w:vAlign w:val="center"/>
          </w:tcPr>
          <w:p w14:paraId="1DD447DB" w14:textId="60868D88" w:rsidR="00E71DA6" w:rsidRPr="00816DDD" w:rsidRDefault="00E71DA6" w:rsidP="00E71DA6">
            <w:pPr>
              <w:jc w:val="center"/>
              <w:rPr>
                <w:b/>
                <w:bCs/>
                <w:sz w:val="20"/>
                <w:szCs w:val="20"/>
              </w:rPr>
            </w:pPr>
            <w:r w:rsidRPr="00816DDD">
              <w:rPr>
                <w:b/>
                <w:bCs/>
                <w:sz w:val="20"/>
                <w:szCs w:val="20"/>
              </w:rPr>
              <w:t>High</w:t>
            </w:r>
          </w:p>
        </w:tc>
        <w:tc>
          <w:tcPr>
            <w:tcW w:w="990" w:type="dxa"/>
            <w:vAlign w:val="center"/>
          </w:tcPr>
          <w:p w14:paraId="73D56DDA" w14:textId="6D9042A8" w:rsidR="00E71DA6" w:rsidRPr="00816DDD" w:rsidRDefault="00E71DA6" w:rsidP="00E71DA6">
            <w:pPr>
              <w:jc w:val="center"/>
              <w:rPr>
                <w:b/>
                <w:bCs/>
                <w:sz w:val="20"/>
                <w:szCs w:val="20"/>
              </w:rPr>
            </w:pPr>
            <w:r w:rsidRPr="00816DDD">
              <w:rPr>
                <w:b/>
                <w:bCs/>
                <w:sz w:val="20"/>
                <w:szCs w:val="20"/>
              </w:rPr>
              <w:t>Low</w:t>
            </w:r>
          </w:p>
        </w:tc>
        <w:tc>
          <w:tcPr>
            <w:tcW w:w="1031" w:type="dxa"/>
            <w:vAlign w:val="center"/>
          </w:tcPr>
          <w:p w14:paraId="5DE44778" w14:textId="674639D3" w:rsidR="00E71DA6" w:rsidRPr="00816DDD" w:rsidRDefault="00E71DA6" w:rsidP="00E71DA6">
            <w:pPr>
              <w:jc w:val="center"/>
              <w:rPr>
                <w:b/>
                <w:bCs/>
                <w:sz w:val="20"/>
                <w:szCs w:val="20"/>
              </w:rPr>
            </w:pPr>
            <w:r w:rsidRPr="00816DDD">
              <w:rPr>
                <w:b/>
                <w:bCs/>
                <w:sz w:val="20"/>
                <w:szCs w:val="20"/>
              </w:rPr>
              <w:t>Previous</w:t>
            </w:r>
          </w:p>
        </w:tc>
        <w:tc>
          <w:tcPr>
            <w:tcW w:w="949" w:type="dxa"/>
            <w:vAlign w:val="center"/>
          </w:tcPr>
          <w:p w14:paraId="1996A96D" w14:textId="6703CB12" w:rsidR="00E71DA6" w:rsidRPr="00816DDD" w:rsidRDefault="00E71DA6" w:rsidP="00E71DA6">
            <w:pPr>
              <w:jc w:val="center"/>
              <w:rPr>
                <w:b/>
                <w:bCs/>
                <w:sz w:val="20"/>
                <w:szCs w:val="20"/>
              </w:rPr>
            </w:pPr>
            <w:r w:rsidRPr="00816DDD">
              <w:rPr>
                <w:b/>
                <w:bCs/>
                <w:sz w:val="20"/>
                <w:szCs w:val="20"/>
              </w:rPr>
              <w:t>Volume</w:t>
            </w:r>
          </w:p>
        </w:tc>
        <w:tc>
          <w:tcPr>
            <w:tcW w:w="1085" w:type="dxa"/>
            <w:vAlign w:val="center"/>
          </w:tcPr>
          <w:p w14:paraId="43EE847A" w14:textId="27EE1287" w:rsidR="00E71DA6" w:rsidRPr="00816DDD" w:rsidRDefault="00E71DA6" w:rsidP="00E71DA6">
            <w:pPr>
              <w:jc w:val="center"/>
              <w:rPr>
                <w:b/>
                <w:bCs/>
                <w:sz w:val="20"/>
                <w:szCs w:val="20"/>
              </w:rPr>
            </w:pPr>
            <w:r w:rsidRPr="00816DDD">
              <w:rPr>
                <w:b/>
                <w:bCs/>
                <w:sz w:val="20"/>
                <w:szCs w:val="20"/>
              </w:rPr>
              <w:t>Open Interest</w:t>
            </w:r>
          </w:p>
        </w:tc>
      </w:tr>
      <w:tr w:rsidR="00816DDD" w:rsidRPr="00816DDD" w14:paraId="79495BE1" w14:textId="77777777" w:rsidTr="00F7012A">
        <w:tc>
          <w:tcPr>
            <w:tcW w:w="1023" w:type="dxa"/>
          </w:tcPr>
          <w:p w14:paraId="7EB7AE19" w14:textId="588C3599" w:rsidR="00E71DA6" w:rsidRPr="00816DDD" w:rsidRDefault="00E76D99" w:rsidP="004D6C86">
            <w:pPr>
              <w:rPr>
                <w:sz w:val="20"/>
                <w:szCs w:val="20"/>
              </w:rPr>
            </w:pPr>
            <w:r w:rsidRPr="00816DDD">
              <w:rPr>
                <w:sz w:val="20"/>
                <w:szCs w:val="20"/>
              </w:rPr>
              <w:t>CLU23</w:t>
            </w:r>
          </w:p>
        </w:tc>
        <w:tc>
          <w:tcPr>
            <w:tcW w:w="952" w:type="dxa"/>
          </w:tcPr>
          <w:p w14:paraId="679EE699" w14:textId="35014B78" w:rsidR="00E71DA6" w:rsidRPr="00816DDD" w:rsidRDefault="00F31B4E" w:rsidP="00F31B4E">
            <w:pPr>
              <w:jc w:val="right"/>
              <w:rPr>
                <w:sz w:val="20"/>
                <w:szCs w:val="20"/>
              </w:rPr>
            </w:pPr>
            <w:r w:rsidRPr="00816DDD">
              <w:rPr>
                <w:sz w:val="20"/>
                <w:szCs w:val="20"/>
              </w:rPr>
              <w:t xml:space="preserve"> 82.73</w:t>
            </w:r>
          </w:p>
        </w:tc>
        <w:tc>
          <w:tcPr>
            <w:tcW w:w="990" w:type="dxa"/>
          </w:tcPr>
          <w:p w14:paraId="56015C9D" w14:textId="2AD8E566" w:rsidR="00E71DA6" w:rsidRPr="00816DDD" w:rsidRDefault="00F31B4E" w:rsidP="00F31B4E">
            <w:pPr>
              <w:jc w:val="right"/>
              <w:rPr>
                <w:sz w:val="20"/>
                <w:szCs w:val="20"/>
              </w:rPr>
            </w:pPr>
            <w:r w:rsidRPr="00816DDD">
              <w:rPr>
                <w:sz w:val="20"/>
                <w:szCs w:val="20"/>
              </w:rPr>
              <w:t>+1.18</w:t>
            </w:r>
          </w:p>
        </w:tc>
        <w:tc>
          <w:tcPr>
            <w:tcW w:w="990" w:type="dxa"/>
          </w:tcPr>
          <w:p w14:paraId="0D4AD57F" w14:textId="26840FD1" w:rsidR="00E71DA6" w:rsidRPr="00816DDD" w:rsidRDefault="00F31B4E" w:rsidP="00F31B4E">
            <w:pPr>
              <w:jc w:val="right"/>
              <w:rPr>
                <w:sz w:val="20"/>
                <w:szCs w:val="20"/>
              </w:rPr>
            </w:pPr>
            <w:r w:rsidRPr="00816DDD">
              <w:rPr>
                <w:sz w:val="20"/>
                <w:szCs w:val="20"/>
              </w:rPr>
              <w:t>81.73</w:t>
            </w:r>
          </w:p>
        </w:tc>
        <w:tc>
          <w:tcPr>
            <w:tcW w:w="990" w:type="dxa"/>
          </w:tcPr>
          <w:p w14:paraId="0AED102E" w14:textId="0F1A6D6B" w:rsidR="00E71DA6" w:rsidRPr="00816DDD" w:rsidRDefault="00F31B4E" w:rsidP="00F31B4E">
            <w:pPr>
              <w:jc w:val="right"/>
              <w:rPr>
                <w:sz w:val="20"/>
                <w:szCs w:val="20"/>
              </w:rPr>
            </w:pPr>
            <w:r w:rsidRPr="00816DDD">
              <w:rPr>
                <w:sz w:val="20"/>
                <w:szCs w:val="20"/>
              </w:rPr>
              <w:t>83.24</w:t>
            </w:r>
          </w:p>
        </w:tc>
        <w:tc>
          <w:tcPr>
            <w:tcW w:w="990" w:type="dxa"/>
          </w:tcPr>
          <w:p w14:paraId="43925A2D" w14:textId="60459EBC" w:rsidR="00E71DA6" w:rsidRPr="00816DDD" w:rsidRDefault="00F31B4E" w:rsidP="00F31B4E">
            <w:pPr>
              <w:jc w:val="right"/>
              <w:rPr>
                <w:sz w:val="20"/>
                <w:szCs w:val="20"/>
              </w:rPr>
            </w:pPr>
            <w:r w:rsidRPr="00816DDD">
              <w:rPr>
                <w:sz w:val="20"/>
                <w:szCs w:val="20"/>
              </w:rPr>
              <w:t>81.51</w:t>
            </w:r>
          </w:p>
        </w:tc>
        <w:tc>
          <w:tcPr>
            <w:tcW w:w="1031" w:type="dxa"/>
          </w:tcPr>
          <w:p w14:paraId="609A434B" w14:textId="7307D2B7" w:rsidR="00E71DA6" w:rsidRPr="00816DDD" w:rsidRDefault="00F31B4E" w:rsidP="00F31B4E">
            <w:pPr>
              <w:jc w:val="right"/>
              <w:rPr>
                <w:sz w:val="20"/>
                <w:szCs w:val="20"/>
              </w:rPr>
            </w:pPr>
            <w:r w:rsidRPr="00816DDD">
              <w:rPr>
                <w:sz w:val="20"/>
                <w:szCs w:val="20"/>
              </w:rPr>
              <w:t>81.55</w:t>
            </w:r>
          </w:p>
        </w:tc>
        <w:tc>
          <w:tcPr>
            <w:tcW w:w="949" w:type="dxa"/>
          </w:tcPr>
          <w:p w14:paraId="19147103" w14:textId="03A79CDA" w:rsidR="00E71DA6" w:rsidRPr="00816DDD" w:rsidRDefault="00F31B4E" w:rsidP="00F31B4E">
            <w:pPr>
              <w:jc w:val="right"/>
              <w:rPr>
                <w:sz w:val="20"/>
                <w:szCs w:val="20"/>
              </w:rPr>
            </w:pPr>
            <w:r w:rsidRPr="00816DDD">
              <w:rPr>
                <w:sz w:val="20"/>
                <w:szCs w:val="20"/>
              </w:rPr>
              <w:t>262,366</w:t>
            </w:r>
          </w:p>
        </w:tc>
        <w:tc>
          <w:tcPr>
            <w:tcW w:w="1085" w:type="dxa"/>
          </w:tcPr>
          <w:p w14:paraId="40402E9F" w14:textId="230062FB" w:rsidR="00E71DA6" w:rsidRPr="00816DDD" w:rsidRDefault="00F31B4E" w:rsidP="00F31B4E">
            <w:pPr>
              <w:jc w:val="right"/>
              <w:rPr>
                <w:sz w:val="20"/>
                <w:szCs w:val="20"/>
              </w:rPr>
            </w:pPr>
            <w:r w:rsidRPr="00816DDD">
              <w:rPr>
                <w:sz w:val="20"/>
                <w:szCs w:val="20"/>
              </w:rPr>
              <w:t>331,246</w:t>
            </w:r>
          </w:p>
        </w:tc>
      </w:tr>
      <w:tr w:rsidR="00816DDD" w:rsidRPr="00816DDD" w14:paraId="516F4909" w14:textId="77777777" w:rsidTr="00F7012A">
        <w:tc>
          <w:tcPr>
            <w:tcW w:w="1023" w:type="dxa"/>
          </w:tcPr>
          <w:p w14:paraId="0E56C9F1" w14:textId="4B90366D" w:rsidR="00E71DA6" w:rsidRPr="00816DDD" w:rsidRDefault="00E76D99" w:rsidP="004D6C86">
            <w:pPr>
              <w:rPr>
                <w:sz w:val="20"/>
                <w:szCs w:val="20"/>
              </w:rPr>
            </w:pPr>
            <w:r w:rsidRPr="00816DDD">
              <w:rPr>
                <w:sz w:val="20"/>
                <w:szCs w:val="20"/>
              </w:rPr>
              <w:t>CLV23</w:t>
            </w:r>
          </w:p>
        </w:tc>
        <w:tc>
          <w:tcPr>
            <w:tcW w:w="952" w:type="dxa"/>
          </w:tcPr>
          <w:p w14:paraId="328DD820" w14:textId="4408A654" w:rsidR="00E71DA6" w:rsidRPr="00816DDD" w:rsidRDefault="00F31B4E" w:rsidP="00F31B4E">
            <w:pPr>
              <w:jc w:val="right"/>
              <w:rPr>
                <w:sz w:val="20"/>
                <w:szCs w:val="20"/>
              </w:rPr>
            </w:pPr>
            <w:r w:rsidRPr="00816DDD">
              <w:rPr>
                <w:sz w:val="20"/>
                <w:szCs w:val="20"/>
              </w:rPr>
              <w:t>82.16</w:t>
            </w:r>
          </w:p>
        </w:tc>
        <w:tc>
          <w:tcPr>
            <w:tcW w:w="990" w:type="dxa"/>
          </w:tcPr>
          <w:p w14:paraId="06A91899" w14:textId="66A688BD" w:rsidR="00E71DA6" w:rsidRPr="00816DDD" w:rsidRDefault="00F31B4E" w:rsidP="00F31B4E">
            <w:pPr>
              <w:jc w:val="right"/>
              <w:rPr>
                <w:sz w:val="20"/>
                <w:szCs w:val="20"/>
              </w:rPr>
            </w:pPr>
            <w:r w:rsidRPr="00816DDD">
              <w:rPr>
                <w:sz w:val="20"/>
                <w:szCs w:val="20"/>
              </w:rPr>
              <w:t>+1.08</w:t>
            </w:r>
          </w:p>
        </w:tc>
        <w:tc>
          <w:tcPr>
            <w:tcW w:w="990" w:type="dxa"/>
          </w:tcPr>
          <w:p w14:paraId="20215850" w14:textId="7D87816C" w:rsidR="00E71DA6" w:rsidRPr="00816DDD" w:rsidRDefault="00F31B4E" w:rsidP="00F31B4E">
            <w:pPr>
              <w:jc w:val="right"/>
              <w:rPr>
                <w:sz w:val="20"/>
                <w:szCs w:val="20"/>
              </w:rPr>
            </w:pPr>
            <w:r w:rsidRPr="00816DDD">
              <w:rPr>
                <w:sz w:val="20"/>
                <w:szCs w:val="20"/>
              </w:rPr>
              <w:t>81.22</w:t>
            </w:r>
          </w:p>
        </w:tc>
        <w:tc>
          <w:tcPr>
            <w:tcW w:w="990" w:type="dxa"/>
          </w:tcPr>
          <w:p w14:paraId="3A45A76A" w14:textId="7A5DD40B" w:rsidR="00E71DA6" w:rsidRPr="00816DDD" w:rsidRDefault="00F31B4E" w:rsidP="00F31B4E">
            <w:pPr>
              <w:jc w:val="right"/>
              <w:rPr>
                <w:sz w:val="20"/>
                <w:szCs w:val="20"/>
              </w:rPr>
            </w:pPr>
            <w:r w:rsidRPr="00816DDD">
              <w:rPr>
                <w:sz w:val="20"/>
                <w:szCs w:val="20"/>
              </w:rPr>
              <w:t>82.66</w:t>
            </w:r>
          </w:p>
        </w:tc>
        <w:tc>
          <w:tcPr>
            <w:tcW w:w="990" w:type="dxa"/>
          </w:tcPr>
          <w:p w14:paraId="1D3469BF" w14:textId="4BEF6C40" w:rsidR="00E71DA6" w:rsidRPr="00816DDD" w:rsidRDefault="00F31B4E" w:rsidP="00F31B4E">
            <w:pPr>
              <w:jc w:val="right"/>
              <w:rPr>
                <w:sz w:val="20"/>
                <w:szCs w:val="20"/>
              </w:rPr>
            </w:pPr>
            <w:r w:rsidRPr="00816DDD">
              <w:rPr>
                <w:sz w:val="20"/>
                <w:szCs w:val="20"/>
              </w:rPr>
              <w:t>81.04</w:t>
            </w:r>
          </w:p>
        </w:tc>
        <w:tc>
          <w:tcPr>
            <w:tcW w:w="1031" w:type="dxa"/>
          </w:tcPr>
          <w:p w14:paraId="7EC98EDD" w14:textId="76466913" w:rsidR="00E71DA6" w:rsidRPr="00816DDD" w:rsidRDefault="00F31B4E" w:rsidP="00F31B4E">
            <w:pPr>
              <w:jc w:val="right"/>
              <w:rPr>
                <w:sz w:val="20"/>
                <w:szCs w:val="20"/>
              </w:rPr>
            </w:pPr>
            <w:r w:rsidRPr="00816DDD">
              <w:rPr>
                <w:sz w:val="20"/>
                <w:szCs w:val="20"/>
              </w:rPr>
              <w:t>81.08</w:t>
            </w:r>
          </w:p>
        </w:tc>
        <w:tc>
          <w:tcPr>
            <w:tcW w:w="949" w:type="dxa"/>
          </w:tcPr>
          <w:p w14:paraId="157AA342" w14:textId="5AC8932E" w:rsidR="00E71DA6" w:rsidRPr="00816DDD" w:rsidRDefault="00F31B4E" w:rsidP="00F31B4E">
            <w:pPr>
              <w:jc w:val="right"/>
              <w:rPr>
                <w:sz w:val="20"/>
                <w:szCs w:val="20"/>
              </w:rPr>
            </w:pPr>
            <w:r w:rsidRPr="00816DDD">
              <w:rPr>
                <w:sz w:val="20"/>
                <w:szCs w:val="20"/>
              </w:rPr>
              <w:t>82,776</w:t>
            </w:r>
          </w:p>
        </w:tc>
        <w:tc>
          <w:tcPr>
            <w:tcW w:w="1085" w:type="dxa"/>
          </w:tcPr>
          <w:p w14:paraId="1CD5CEE8" w14:textId="389EF747" w:rsidR="00E71DA6" w:rsidRPr="00816DDD" w:rsidRDefault="00F31B4E" w:rsidP="00F31B4E">
            <w:pPr>
              <w:jc w:val="right"/>
              <w:rPr>
                <w:sz w:val="20"/>
                <w:szCs w:val="20"/>
              </w:rPr>
            </w:pPr>
            <w:r w:rsidRPr="00816DDD">
              <w:rPr>
                <w:sz w:val="20"/>
                <w:szCs w:val="20"/>
              </w:rPr>
              <w:t>227,918</w:t>
            </w:r>
          </w:p>
        </w:tc>
      </w:tr>
      <w:tr w:rsidR="00816DDD" w:rsidRPr="00816DDD" w14:paraId="1DA66E06" w14:textId="77777777" w:rsidTr="00F7012A">
        <w:tc>
          <w:tcPr>
            <w:tcW w:w="1023" w:type="dxa"/>
          </w:tcPr>
          <w:p w14:paraId="3551C54C" w14:textId="0BE8C556" w:rsidR="00E71DA6" w:rsidRPr="00816DDD" w:rsidRDefault="00E76D99" w:rsidP="004D6C86">
            <w:pPr>
              <w:rPr>
                <w:sz w:val="20"/>
                <w:szCs w:val="20"/>
              </w:rPr>
            </w:pPr>
            <w:r w:rsidRPr="00816DDD">
              <w:rPr>
                <w:sz w:val="20"/>
                <w:szCs w:val="20"/>
              </w:rPr>
              <w:t>CLX23</w:t>
            </w:r>
          </w:p>
        </w:tc>
        <w:tc>
          <w:tcPr>
            <w:tcW w:w="952" w:type="dxa"/>
          </w:tcPr>
          <w:p w14:paraId="1D0AC516" w14:textId="2BE6495E" w:rsidR="00E71DA6" w:rsidRPr="00816DDD" w:rsidRDefault="00F31B4E" w:rsidP="00F31B4E">
            <w:pPr>
              <w:jc w:val="right"/>
              <w:rPr>
                <w:sz w:val="20"/>
                <w:szCs w:val="20"/>
              </w:rPr>
            </w:pPr>
            <w:r w:rsidRPr="00816DDD">
              <w:rPr>
                <w:sz w:val="20"/>
                <w:szCs w:val="20"/>
              </w:rPr>
              <w:t>81.63</w:t>
            </w:r>
          </w:p>
        </w:tc>
        <w:tc>
          <w:tcPr>
            <w:tcW w:w="990" w:type="dxa"/>
          </w:tcPr>
          <w:p w14:paraId="4137939D" w14:textId="1059A40F" w:rsidR="00E71DA6" w:rsidRPr="00816DDD" w:rsidRDefault="00F31B4E" w:rsidP="00F31B4E">
            <w:pPr>
              <w:jc w:val="right"/>
              <w:rPr>
                <w:sz w:val="20"/>
                <w:szCs w:val="20"/>
              </w:rPr>
            </w:pPr>
            <w:r w:rsidRPr="00816DDD">
              <w:rPr>
                <w:sz w:val="20"/>
                <w:szCs w:val="20"/>
              </w:rPr>
              <w:t>+1.02</w:t>
            </w:r>
          </w:p>
        </w:tc>
        <w:tc>
          <w:tcPr>
            <w:tcW w:w="990" w:type="dxa"/>
          </w:tcPr>
          <w:p w14:paraId="0C26D7D6" w14:textId="1ED0431A" w:rsidR="00E71DA6" w:rsidRPr="00816DDD" w:rsidRDefault="00F31B4E" w:rsidP="00F31B4E">
            <w:pPr>
              <w:jc w:val="right"/>
              <w:rPr>
                <w:sz w:val="20"/>
                <w:szCs w:val="20"/>
              </w:rPr>
            </w:pPr>
            <w:r w:rsidRPr="00816DDD">
              <w:rPr>
                <w:sz w:val="20"/>
                <w:szCs w:val="20"/>
              </w:rPr>
              <w:t>80.79</w:t>
            </w:r>
          </w:p>
        </w:tc>
        <w:tc>
          <w:tcPr>
            <w:tcW w:w="990" w:type="dxa"/>
          </w:tcPr>
          <w:p w14:paraId="4932F280" w14:textId="0ADF1739" w:rsidR="00E71DA6" w:rsidRPr="00816DDD" w:rsidRDefault="00F31B4E" w:rsidP="00F31B4E">
            <w:pPr>
              <w:jc w:val="right"/>
              <w:rPr>
                <w:sz w:val="20"/>
                <w:szCs w:val="20"/>
              </w:rPr>
            </w:pPr>
            <w:r w:rsidRPr="00816DDD">
              <w:rPr>
                <w:sz w:val="20"/>
                <w:szCs w:val="20"/>
              </w:rPr>
              <w:t>82.11</w:t>
            </w:r>
          </w:p>
        </w:tc>
        <w:tc>
          <w:tcPr>
            <w:tcW w:w="990" w:type="dxa"/>
          </w:tcPr>
          <w:p w14:paraId="428DF676" w14:textId="66462285" w:rsidR="00E71DA6" w:rsidRPr="00816DDD" w:rsidRDefault="00F31B4E" w:rsidP="00F31B4E">
            <w:pPr>
              <w:jc w:val="right"/>
              <w:rPr>
                <w:sz w:val="20"/>
                <w:szCs w:val="20"/>
              </w:rPr>
            </w:pPr>
            <w:r w:rsidRPr="00816DDD">
              <w:rPr>
                <w:sz w:val="20"/>
                <w:szCs w:val="20"/>
              </w:rPr>
              <w:t>80.56</w:t>
            </w:r>
          </w:p>
        </w:tc>
        <w:tc>
          <w:tcPr>
            <w:tcW w:w="1031" w:type="dxa"/>
          </w:tcPr>
          <w:p w14:paraId="5B34DE2A" w14:textId="19E610D8" w:rsidR="00E71DA6" w:rsidRPr="00816DDD" w:rsidRDefault="00F31B4E" w:rsidP="00F31B4E">
            <w:pPr>
              <w:jc w:val="right"/>
              <w:rPr>
                <w:sz w:val="20"/>
                <w:szCs w:val="20"/>
              </w:rPr>
            </w:pPr>
            <w:r w:rsidRPr="00816DDD">
              <w:rPr>
                <w:sz w:val="20"/>
                <w:szCs w:val="20"/>
              </w:rPr>
              <w:t>80.61</w:t>
            </w:r>
          </w:p>
        </w:tc>
        <w:tc>
          <w:tcPr>
            <w:tcW w:w="949" w:type="dxa"/>
          </w:tcPr>
          <w:p w14:paraId="163BCE2C" w14:textId="2CDF7B09" w:rsidR="00E71DA6" w:rsidRPr="00816DDD" w:rsidRDefault="00F31B4E" w:rsidP="00F31B4E">
            <w:pPr>
              <w:jc w:val="right"/>
              <w:rPr>
                <w:sz w:val="20"/>
                <w:szCs w:val="20"/>
              </w:rPr>
            </w:pPr>
            <w:r w:rsidRPr="00816DDD">
              <w:rPr>
                <w:sz w:val="20"/>
                <w:szCs w:val="20"/>
              </w:rPr>
              <w:t>42,985</w:t>
            </w:r>
          </w:p>
        </w:tc>
        <w:tc>
          <w:tcPr>
            <w:tcW w:w="1085" w:type="dxa"/>
          </w:tcPr>
          <w:p w14:paraId="0F612A74" w14:textId="1B566ECD" w:rsidR="00E71DA6" w:rsidRPr="00816DDD" w:rsidRDefault="00F31B4E" w:rsidP="00F31B4E">
            <w:pPr>
              <w:jc w:val="right"/>
              <w:rPr>
                <w:sz w:val="20"/>
                <w:szCs w:val="20"/>
              </w:rPr>
            </w:pPr>
            <w:r w:rsidRPr="00816DDD">
              <w:rPr>
                <w:sz w:val="20"/>
                <w:szCs w:val="20"/>
              </w:rPr>
              <w:t>135,476</w:t>
            </w:r>
          </w:p>
        </w:tc>
      </w:tr>
      <w:tr w:rsidR="00816DDD" w:rsidRPr="00816DDD" w14:paraId="2BD1298E" w14:textId="77777777" w:rsidTr="00F7012A">
        <w:tc>
          <w:tcPr>
            <w:tcW w:w="1023" w:type="dxa"/>
          </w:tcPr>
          <w:p w14:paraId="14D79368" w14:textId="541CFEA0" w:rsidR="00E71DA6" w:rsidRPr="00816DDD" w:rsidRDefault="00E76D99" w:rsidP="004D6C86">
            <w:pPr>
              <w:rPr>
                <w:sz w:val="20"/>
                <w:szCs w:val="20"/>
              </w:rPr>
            </w:pPr>
            <w:r w:rsidRPr="00816DDD">
              <w:rPr>
                <w:sz w:val="20"/>
                <w:szCs w:val="20"/>
              </w:rPr>
              <w:t>CLZ23</w:t>
            </w:r>
          </w:p>
        </w:tc>
        <w:tc>
          <w:tcPr>
            <w:tcW w:w="952" w:type="dxa"/>
          </w:tcPr>
          <w:p w14:paraId="2D3EAB3D" w14:textId="7CACC36E" w:rsidR="00E71DA6" w:rsidRPr="00816DDD" w:rsidRDefault="00F31B4E" w:rsidP="00F31B4E">
            <w:pPr>
              <w:jc w:val="right"/>
              <w:rPr>
                <w:sz w:val="20"/>
                <w:szCs w:val="20"/>
              </w:rPr>
            </w:pPr>
            <w:r w:rsidRPr="00816DDD">
              <w:rPr>
                <w:sz w:val="20"/>
                <w:szCs w:val="20"/>
              </w:rPr>
              <w:t>81.09</w:t>
            </w:r>
          </w:p>
        </w:tc>
        <w:tc>
          <w:tcPr>
            <w:tcW w:w="990" w:type="dxa"/>
          </w:tcPr>
          <w:p w14:paraId="583C0E50" w14:textId="6316A287" w:rsidR="00E71DA6" w:rsidRPr="00816DDD" w:rsidRDefault="00F31B4E" w:rsidP="00F31B4E">
            <w:pPr>
              <w:jc w:val="right"/>
              <w:rPr>
                <w:sz w:val="20"/>
                <w:szCs w:val="20"/>
              </w:rPr>
            </w:pPr>
            <w:r w:rsidRPr="00816DDD">
              <w:rPr>
                <w:sz w:val="20"/>
                <w:szCs w:val="20"/>
              </w:rPr>
              <w:t>+0.97</w:t>
            </w:r>
          </w:p>
        </w:tc>
        <w:tc>
          <w:tcPr>
            <w:tcW w:w="990" w:type="dxa"/>
          </w:tcPr>
          <w:p w14:paraId="12FDF406" w14:textId="519EE51F" w:rsidR="00E71DA6" w:rsidRPr="00816DDD" w:rsidRDefault="00F31B4E" w:rsidP="00F31B4E">
            <w:pPr>
              <w:jc w:val="right"/>
              <w:rPr>
                <w:sz w:val="20"/>
                <w:szCs w:val="20"/>
              </w:rPr>
            </w:pPr>
            <w:r w:rsidRPr="00816DDD">
              <w:rPr>
                <w:sz w:val="20"/>
                <w:szCs w:val="20"/>
              </w:rPr>
              <w:t>80.18</w:t>
            </w:r>
          </w:p>
        </w:tc>
        <w:tc>
          <w:tcPr>
            <w:tcW w:w="990" w:type="dxa"/>
          </w:tcPr>
          <w:p w14:paraId="33873F4E" w14:textId="1C190C0B" w:rsidR="00E71DA6" w:rsidRPr="00816DDD" w:rsidRDefault="00F31B4E" w:rsidP="00F31B4E">
            <w:pPr>
              <w:jc w:val="right"/>
              <w:rPr>
                <w:sz w:val="20"/>
                <w:szCs w:val="20"/>
              </w:rPr>
            </w:pPr>
            <w:r w:rsidRPr="00816DDD">
              <w:rPr>
                <w:sz w:val="20"/>
                <w:szCs w:val="20"/>
              </w:rPr>
              <w:t>81.53</w:t>
            </w:r>
          </w:p>
        </w:tc>
        <w:tc>
          <w:tcPr>
            <w:tcW w:w="990" w:type="dxa"/>
          </w:tcPr>
          <w:p w14:paraId="669464DB" w14:textId="3DCE2B33" w:rsidR="00E71DA6" w:rsidRPr="00816DDD" w:rsidRDefault="00F31B4E" w:rsidP="00F31B4E">
            <w:pPr>
              <w:jc w:val="right"/>
              <w:rPr>
                <w:sz w:val="20"/>
                <w:szCs w:val="20"/>
              </w:rPr>
            </w:pPr>
            <w:r w:rsidRPr="00816DDD">
              <w:rPr>
                <w:sz w:val="20"/>
                <w:szCs w:val="20"/>
              </w:rPr>
              <w:t>80.05</w:t>
            </w:r>
          </w:p>
        </w:tc>
        <w:tc>
          <w:tcPr>
            <w:tcW w:w="1031" w:type="dxa"/>
          </w:tcPr>
          <w:p w14:paraId="65EE175F" w14:textId="5CD0B0C0" w:rsidR="00E71DA6" w:rsidRPr="00816DDD" w:rsidRDefault="00F31B4E" w:rsidP="00F31B4E">
            <w:pPr>
              <w:jc w:val="right"/>
              <w:rPr>
                <w:sz w:val="20"/>
                <w:szCs w:val="20"/>
              </w:rPr>
            </w:pPr>
            <w:r w:rsidRPr="00816DDD">
              <w:rPr>
                <w:sz w:val="20"/>
                <w:szCs w:val="20"/>
              </w:rPr>
              <w:t>80.12</w:t>
            </w:r>
          </w:p>
        </w:tc>
        <w:tc>
          <w:tcPr>
            <w:tcW w:w="949" w:type="dxa"/>
          </w:tcPr>
          <w:p w14:paraId="7A039457" w14:textId="5D1CF633" w:rsidR="00E71DA6" w:rsidRPr="00816DDD" w:rsidRDefault="00F31B4E" w:rsidP="00F31B4E">
            <w:pPr>
              <w:jc w:val="right"/>
              <w:rPr>
                <w:sz w:val="20"/>
                <w:szCs w:val="20"/>
              </w:rPr>
            </w:pPr>
            <w:r w:rsidRPr="00816DDD">
              <w:rPr>
                <w:sz w:val="20"/>
                <w:szCs w:val="20"/>
              </w:rPr>
              <w:t>72,109</w:t>
            </w:r>
          </w:p>
        </w:tc>
        <w:tc>
          <w:tcPr>
            <w:tcW w:w="1085" w:type="dxa"/>
          </w:tcPr>
          <w:p w14:paraId="765EBEF8" w14:textId="72EDE6A0" w:rsidR="00E71DA6" w:rsidRPr="00816DDD" w:rsidRDefault="00F31B4E" w:rsidP="00F31B4E">
            <w:pPr>
              <w:jc w:val="right"/>
              <w:rPr>
                <w:sz w:val="20"/>
                <w:szCs w:val="20"/>
              </w:rPr>
            </w:pPr>
            <w:r w:rsidRPr="00816DDD">
              <w:rPr>
                <w:sz w:val="20"/>
                <w:szCs w:val="20"/>
              </w:rPr>
              <w:t>234,824</w:t>
            </w:r>
          </w:p>
        </w:tc>
      </w:tr>
      <w:tr w:rsidR="00816DDD" w:rsidRPr="00816DDD" w14:paraId="7ACBEB87" w14:textId="77777777" w:rsidTr="00F7012A">
        <w:tc>
          <w:tcPr>
            <w:tcW w:w="9000" w:type="dxa"/>
            <w:gridSpan w:val="9"/>
          </w:tcPr>
          <w:p w14:paraId="702C9E90" w14:textId="09D168CC" w:rsidR="00F31B4E" w:rsidRPr="00816DDD" w:rsidRDefault="00F31B4E" w:rsidP="00F31B4E">
            <w:pPr>
              <w:rPr>
                <w:sz w:val="20"/>
                <w:szCs w:val="20"/>
              </w:rPr>
            </w:pPr>
            <w:r w:rsidRPr="00816DDD">
              <w:rPr>
                <w:sz w:val="20"/>
                <w:szCs w:val="20"/>
              </w:rPr>
              <w:t xml:space="preserve">August 4, </w:t>
            </w:r>
            <w:r w:rsidR="007F19CA" w:rsidRPr="00816DDD">
              <w:rPr>
                <w:sz w:val="20"/>
                <w:szCs w:val="20"/>
              </w:rPr>
              <w:t>2023,</w:t>
            </w:r>
            <w:r w:rsidRPr="00816DDD">
              <w:rPr>
                <w:sz w:val="20"/>
                <w:szCs w:val="20"/>
              </w:rPr>
              <w:t xml:space="preserve"> at 13:18 CT</w:t>
            </w:r>
          </w:p>
        </w:tc>
      </w:tr>
    </w:tbl>
    <w:p w14:paraId="7D0C831F" w14:textId="293396EE" w:rsidR="007F19CA" w:rsidRPr="00816DDD" w:rsidRDefault="007F19CA">
      <w:pPr>
        <w:rPr>
          <w:b/>
          <w:bCs/>
          <w:szCs w:val="24"/>
        </w:rPr>
      </w:pPr>
    </w:p>
    <w:p w14:paraId="047057FA" w14:textId="66DDE92C" w:rsidR="00325B10" w:rsidRPr="00816DDD" w:rsidRDefault="004D6C86" w:rsidP="00F21B81">
      <w:pPr>
        <w:rPr>
          <w:b/>
          <w:bCs/>
          <w:szCs w:val="24"/>
        </w:rPr>
      </w:pPr>
      <w:r w:rsidRPr="00816DDD">
        <w:rPr>
          <w:b/>
          <w:bCs/>
          <w:szCs w:val="24"/>
        </w:rPr>
        <w:t>Hedging Using Futures Contracts</w:t>
      </w:r>
    </w:p>
    <w:p w14:paraId="0A128A6B" w14:textId="0984CDC5" w:rsidR="00735A10" w:rsidRPr="00816DDD" w:rsidRDefault="00A4200A" w:rsidP="000E660D">
      <w:pPr>
        <w:spacing w:after="0" w:line="240" w:lineRule="auto"/>
        <w:rPr>
          <w:szCs w:val="24"/>
        </w:rPr>
      </w:pPr>
      <w:r w:rsidRPr="00816DDD">
        <w:rPr>
          <w:szCs w:val="24"/>
        </w:rPr>
        <w:t xml:space="preserve">Hedging involves buying or selling futures contracts to protect against the risk of changing prices.  </w:t>
      </w:r>
      <w:r w:rsidR="00F21B81" w:rsidRPr="00816DDD">
        <w:rPr>
          <w:szCs w:val="24"/>
        </w:rPr>
        <w:t xml:space="preserve">There are </w:t>
      </w:r>
      <w:r w:rsidRPr="00816DDD">
        <w:rPr>
          <w:szCs w:val="24"/>
        </w:rPr>
        <w:t>two types of hedges:</w:t>
      </w:r>
    </w:p>
    <w:p w14:paraId="45789E4D" w14:textId="77777777" w:rsidR="00735A10" w:rsidRPr="00816DDD" w:rsidRDefault="00735A10" w:rsidP="000E660D">
      <w:pPr>
        <w:spacing w:after="0" w:line="240" w:lineRule="auto"/>
        <w:rPr>
          <w:szCs w:val="24"/>
        </w:rPr>
      </w:pPr>
    </w:p>
    <w:p w14:paraId="7673212A" w14:textId="1E712F0C" w:rsidR="00236845" w:rsidRPr="00816DDD" w:rsidRDefault="00ED1A07" w:rsidP="00ED1A07">
      <w:pPr>
        <w:spacing w:after="0" w:line="240" w:lineRule="auto"/>
        <w:ind w:left="360"/>
        <w:rPr>
          <w:szCs w:val="24"/>
        </w:rPr>
      </w:pPr>
      <w:r w:rsidRPr="00816DDD">
        <w:rPr>
          <w:b/>
          <w:bCs/>
          <w:szCs w:val="24"/>
        </w:rPr>
        <w:lastRenderedPageBreak/>
        <w:t>Short hedge.</w:t>
      </w:r>
      <w:r w:rsidR="00A5605D" w:rsidRPr="00816DDD">
        <w:rPr>
          <w:szCs w:val="24"/>
        </w:rPr>
        <w:t xml:space="preserve">  Th</w:t>
      </w:r>
      <w:r w:rsidR="00AD2A7F" w:rsidRPr="00816DDD">
        <w:rPr>
          <w:szCs w:val="24"/>
        </w:rPr>
        <w:t xml:space="preserve">is hedge is </w:t>
      </w:r>
      <w:r w:rsidR="004D714C" w:rsidRPr="00816DDD">
        <w:rPr>
          <w:szCs w:val="24"/>
        </w:rPr>
        <w:t>used</w:t>
      </w:r>
      <w:r w:rsidR="00A5605D" w:rsidRPr="00816DDD">
        <w:rPr>
          <w:szCs w:val="24"/>
        </w:rPr>
        <w:t xml:space="preserve"> </w:t>
      </w:r>
      <w:r w:rsidR="00AA3223" w:rsidRPr="00816DDD">
        <w:rPr>
          <w:szCs w:val="24"/>
        </w:rPr>
        <w:t xml:space="preserve">when </w:t>
      </w:r>
      <w:r w:rsidR="004A664C" w:rsidRPr="00816DDD">
        <w:rPr>
          <w:szCs w:val="24"/>
        </w:rPr>
        <w:t xml:space="preserve">a </w:t>
      </w:r>
      <w:r w:rsidR="00AE414F" w:rsidRPr="00816DDD">
        <w:rPr>
          <w:szCs w:val="24"/>
        </w:rPr>
        <w:t>business</w:t>
      </w:r>
      <w:r w:rsidR="00A5605D" w:rsidRPr="00816DDD">
        <w:rPr>
          <w:szCs w:val="24"/>
        </w:rPr>
        <w:t xml:space="preserve"> </w:t>
      </w:r>
      <w:r w:rsidR="00B303EA" w:rsidRPr="00816DDD">
        <w:rPr>
          <w:szCs w:val="24"/>
        </w:rPr>
        <w:t>plan</w:t>
      </w:r>
      <w:r w:rsidR="004A664C" w:rsidRPr="00816DDD">
        <w:rPr>
          <w:szCs w:val="24"/>
        </w:rPr>
        <w:t>s</w:t>
      </w:r>
      <w:r w:rsidR="00B303EA" w:rsidRPr="00816DDD">
        <w:rPr>
          <w:szCs w:val="24"/>
        </w:rPr>
        <w:t xml:space="preserve"> </w:t>
      </w:r>
      <w:r w:rsidR="00A5605D" w:rsidRPr="00816DDD">
        <w:rPr>
          <w:szCs w:val="24"/>
        </w:rPr>
        <w:t>to sel</w:t>
      </w:r>
      <w:r w:rsidR="00AE414F" w:rsidRPr="00816DDD">
        <w:rPr>
          <w:szCs w:val="24"/>
        </w:rPr>
        <w:t xml:space="preserve">l </w:t>
      </w:r>
      <w:r w:rsidR="00A5605D" w:rsidRPr="00816DDD">
        <w:rPr>
          <w:szCs w:val="24"/>
        </w:rPr>
        <w:t>asset</w:t>
      </w:r>
      <w:r w:rsidR="00AE414F" w:rsidRPr="00816DDD">
        <w:rPr>
          <w:szCs w:val="24"/>
        </w:rPr>
        <w:t>s</w:t>
      </w:r>
      <w:r w:rsidR="00A5605D" w:rsidRPr="00816DDD">
        <w:rPr>
          <w:szCs w:val="24"/>
        </w:rPr>
        <w:t xml:space="preserve"> </w:t>
      </w:r>
      <w:r w:rsidR="00C8062F" w:rsidRPr="00816DDD">
        <w:rPr>
          <w:szCs w:val="24"/>
        </w:rPr>
        <w:t xml:space="preserve">in the future </w:t>
      </w:r>
      <w:r w:rsidR="004A664C" w:rsidRPr="00816DDD">
        <w:rPr>
          <w:szCs w:val="24"/>
        </w:rPr>
        <w:t xml:space="preserve">but </w:t>
      </w:r>
      <w:r w:rsidR="00A5605D" w:rsidRPr="00816DDD">
        <w:rPr>
          <w:szCs w:val="24"/>
        </w:rPr>
        <w:t>want</w:t>
      </w:r>
      <w:r w:rsidR="004A664C" w:rsidRPr="00816DDD">
        <w:rPr>
          <w:szCs w:val="24"/>
        </w:rPr>
        <w:t>s</w:t>
      </w:r>
      <w:r w:rsidR="00A5605D" w:rsidRPr="00816DDD">
        <w:rPr>
          <w:szCs w:val="24"/>
        </w:rPr>
        <w:t xml:space="preserve"> to protect</w:t>
      </w:r>
      <w:r w:rsidR="004A664C" w:rsidRPr="00816DDD">
        <w:rPr>
          <w:szCs w:val="24"/>
        </w:rPr>
        <w:t xml:space="preserve"> itself</w:t>
      </w:r>
      <w:r w:rsidR="00AE414F" w:rsidRPr="00816DDD">
        <w:rPr>
          <w:szCs w:val="24"/>
        </w:rPr>
        <w:t xml:space="preserve"> </w:t>
      </w:r>
      <w:r w:rsidR="00A5605D" w:rsidRPr="00816DDD">
        <w:rPr>
          <w:szCs w:val="24"/>
        </w:rPr>
        <w:t xml:space="preserve">from </w:t>
      </w:r>
      <w:r w:rsidR="004A664C" w:rsidRPr="00816DDD">
        <w:rPr>
          <w:szCs w:val="24"/>
        </w:rPr>
        <w:t xml:space="preserve">the </w:t>
      </w:r>
      <w:r w:rsidR="000E3DCA" w:rsidRPr="00816DDD">
        <w:rPr>
          <w:szCs w:val="24"/>
        </w:rPr>
        <w:t xml:space="preserve">risk </w:t>
      </w:r>
      <w:r w:rsidR="004A664C" w:rsidRPr="00816DDD">
        <w:rPr>
          <w:szCs w:val="24"/>
        </w:rPr>
        <w:t xml:space="preserve">that </w:t>
      </w:r>
      <w:r w:rsidR="004D28EC" w:rsidRPr="00816DDD">
        <w:rPr>
          <w:szCs w:val="24"/>
        </w:rPr>
        <w:t>prices</w:t>
      </w:r>
      <w:r w:rsidR="00C8062F" w:rsidRPr="00816DDD">
        <w:rPr>
          <w:szCs w:val="24"/>
        </w:rPr>
        <w:t xml:space="preserve"> </w:t>
      </w:r>
      <w:r w:rsidR="00F21B81" w:rsidRPr="00816DDD">
        <w:rPr>
          <w:szCs w:val="24"/>
        </w:rPr>
        <w:t>may</w:t>
      </w:r>
      <w:r w:rsidR="00C17BB8" w:rsidRPr="00816DDD">
        <w:rPr>
          <w:szCs w:val="24"/>
        </w:rPr>
        <w:t xml:space="preserve"> </w:t>
      </w:r>
      <w:r w:rsidR="00C8062F" w:rsidRPr="00816DDD">
        <w:rPr>
          <w:szCs w:val="24"/>
        </w:rPr>
        <w:t>fall</w:t>
      </w:r>
      <w:r w:rsidR="004A664C" w:rsidRPr="00816DDD">
        <w:rPr>
          <w:szCs w:val="24"/>
        </w:rPr>
        <w:t xml:space="preserve"> </w:t>
      </w:r>
      <w:r w:rsidR="00C8062F" w:rsidRPr="00816DDD">
        <w:rPr>
          <w:szCs w:val="24"/>
        </w:rPr>
        <w:t>in the interim</w:t>
      </w:r>
      <w:r w:rsidR="00A5605D" w:rsidRPr="00816DDD">
        <w:rPr>
          <w:szCs w:val="24"/>
        </w:rPr>
        <w:t xml:space="preserve">.  </w:t>
      </w:r>
      <w:r w:rsidR="004A664C" w:rsidRPr="00816DDD">
        <w:rPr>
          <w:szCs w:val="24"/>
        </w:rPr>
        <w:t xml:space="preserve">The company </w:t>
      </w:r>
      <w:r w:rsidR="00F21B81" w:rsidRPr="00816DDD">
        <w:rPr>
          <w:szCs w:val="24"/>
        </w:rPr>
        <w:t xml:space="preserve">could </w:t>
      </w:r>
      <w:r w:rsidR="00C8062F" w:rsidRPr="00816DDD">
        <w:rPr>
          <w:szCs w:val="24"/>
        </w:rPr>
        <w:t xml:space="preserve">be </w:t>
      </w:r>
      <w:r w:rsidR="00AE414F" w:rsidRPr="00816DDD">
        <w:rPr>
          <w:szCs w:val="24"/>
        </w:rPr>
        <w:t>growing wheat</w:t>
      </w:r>
      <w:r w:rsidR="00C8062F" w:rsidRPr="00816DDD">
        <w:rPr>
          <w:szCs w:val="24"/>
        </w:rPr>
        <w:t xml:space="preserve"> that will not be ready to harvest for several months</w:t>
      </w:r>
      <w:r w:rsidR="00AE414F" w:rsidRPr="00816DDD">
        <w:rPr>
          <w:szCs w:val="24"/>
        </w:rPr>
        <w:t xml:space="preserve"> or </w:t>
      </w:r>
      <w:r w:rsidR="00C8062F" w:rsidRPr="00816DDD">
        <w:rPr>
          <w:szCs w:val="24"/>
        </w:rPr>
        <w:t xml:space="preserve">have </w:t>
      </w:r>
      <w:r w:rsidR="00EB40B7" w:rsidRPr="00816DDD">
        <w:rPr>
          <w:szCs w:val="24"/>
        </w:rPr>
        <w:t xml:space="preserve">bundles of </w:t>
      </w:r>
      <w:r w:rsidR="00C8062F" w:rsidRPr="00816DDD">
        <w:rPr>
          <w:szCs w:val="24"/>
        </w:rPr>
        <w:t>finished</w:t>
      </w:r>
      <w:r w:rsidR="00EB40B7" w:rsidRPr="00816DDD">
        <w:rPr>
          <w:szCs w:val="24"/>
        </w:rPr>
        <w:t xml:space="preserve"> </w:t>
      </w:r>
      <w:r w:rsidR="00696E53" w:rsidRPr="00816DDD">
        <w:rPr>
          <w:szCs w:val="24"/>
        </w:rPr>
        <w:t xml:space="preserve">lumber </w:t>
      </w:r>
      <w:r w:rsidR="00995CBA" w:rsidRPr="00816DDD">
        <w:rPr>
          <w:szCs w:val="24"/>
        </w:rPr>
        <w:t xml:space="preserve">at its sawmills </w:t>
      </w:r>
      <w:r w:rsidR="00C8062F" w:rsidRPr="00816DDD">
        <w:rPr>
          <w:szCs w:val="24"/>
        </w:rPr>
        <w:t>waiting to be sen</w:t>
      </w:r>
      <w:r w:rsidR="00C31841" w:rsidRPr="00816DDD">
        <w:rPr>
          <w:szCs w:val="24"/>
        </w:rPr>
        <w:t>t</w:t>
      </w:r>
      <w:r w:rsidR="00C8062F" w:rsidRPr="00816DDD">
        <w:rPr>
          <w:szCs w:val="24"/>
        </w:rPr>
        <w:t xml:space="preserve"> to</w:t>
      </w:r>
      <w:r w:rsidR="00C31841" w:rsidRPr="00816DDD">
        <w:rPr>
          <w:szCs w:val="24"/>
        </w:rPr>
        <w:t xml:space="preserve"> </w:t>
      </w:r>
      <w:r w:rsidR="00C8062F" w:rsidRPr="00816DDD">
        <w:rPr>
          <w:szCs w:val="24"/>
        </w:rPr>
        <w:t xml:space="preserve">home improvement stores in anticipation of </w:t>
      </w:r>
      <w:r w:rsidR="00F21B81" w:rsidRPr="00816DDD">
        <w:rPr>
          <w:szCs w:val="24"/>
        </w:rPr>
        <w:t xml:space="preserve">high </w:t>
      </w:r>
      <w:r w:rsidR="00C8062F" w:rsidRPr="00816DDD">
        <w:rPr>
          <w:szCs w:val="24"/>
        </w:rPr>
        <w:t>seasonal demand</w:t>
      </w:r>
      <w:r w:rsidR="00AE414F" w:rsidRPr="00816DDD">
        <w:rPr>
          <w:szCs w:val="24"/>
        </w:rPr>
        <w:t xml:space="preserve">.  </w:t>
      </w:r>
      <w:r w:rsidR="00CE4548" w:rsidRPr="00816DDD">
        <w:rPr>
          <w:szCs w:val="24"/>
        </w:rPr>
        <w:t xml:space="preserve">To </w:t>
      </w:r>
      <w:r w:rsidR="00AE414F" w:rsidRPr="00816DDD">
        <w:rPr>
          <w:szCs w:val="24"/>
        </w:rPr>
        <w:t>hedge th</w:t>
      </w:r>
      <w:r w:rsidR="00B303EA" w:rsidRPr="00816DDD">
        <w:rPr>
          <w:szCs w:val="24"/>
        </w:rPr>
        <w:t>ese</w:t>
      </w:r>
      <w:r w:rsidR="00AE414F" w:rsidRPr="00816DDD">
        <w:rPr>
          <w:szCs w:val="24"/>
        </w:rPr>
        <w:t xml:space="preserve"> </w:t>
      </w:r>
      <w:r w:rsidR="003216E1" w:rsidRPr="00816DDD">
        <w:rPr>
          <w:szCs w:val="24"/>
        </w:rPr>
        <w:t>transaction</w:t>
      </w:r>
      <w:r w:rsidR="00B303EA" w:rsidRPr="00816DDD">
        <w:rPr>
          <w:szCs w:val="24"/>
        </w:rPr>
        <w:t>s</w:t>
      </w:r>
      <w:r w:rsidR="00BC7F1E" w:rsidRPr="00816DDD">
        <w:rPr>
          <w:szCs w:val="24"/>
        </w:rPr>
        <w:t xml:space="preserve">, </w:t>
      </w:r>
      <w:r w:rsidR="00DB31A5" w:rsidRPr="00816DDD">
        <w:rPr>
          <w:szCs w:val="24"/>
        </w:rPr>
        <w:t>a business</w:t>
      </w:r>
      <w:r w:rsidR="00BC7F1E" w:rsidRPr="00816DDD">
        <w:rPr>
          <w:szCs w:val="24"/>
        </w:rPr>
        <w:t xml:space="preserve"> go</w:t>
      </w:r>
      <w:r w:rsidR="000E3DCA" w:rsidRPr="00816DDD">
        <w:rPr>
          <w:szCs w:val="24"/>
        </w:rPr>
        <w:t>es</w:t>
      </w:r>
      <w:r w:rsidR="0058330F" w:rsidRPr="00816DDD">
        <w:rPr>
          <w:szCs w:val="24"/>
        </w:rPr>
        <w:t xml:space="preserve"> “short” and agree</w:t>
      </w:r>
      <w:r w:rsidR="000E3DCA" w:rsidRPr="00816DDD">
        <w:rPr>
          <w:szCs w:val="24"/>
        </w:rPr>
        <w:t>s</w:t>
      </w:r>
      <w:r w:rsidR="0058330F" w:rsidRPr="00816DDD">
        <w:rPr>
          <w:szCs w:val="24"/>
        </w:rPr>
        <w:t xml:space="preserve"> </w:t>
      </w:r>
      <w:r w:rsidR="004A664C" w:rsidRPr="00816DDD">
        <w:rPr>
          <w:szCs w:val="24"/>
        </w:rPr>
        <w:t xml:space="preserve">to </w:t>
      </w:r>
      <w:r w:rsidR="00B516D0" w:rsidRPr="00816DDD">
        <w:rPr>
          <w:szCs w:val="24"/>
        </w:rPr>
        <w:t>sell</w:t>
      </w:r>
      <w:r w:rsidR="0058330F" w:rsidRPr="00816DDD">
        <w:rPr>
          <w:szCs w:val="24"/>
        </w:rPr>
        <w:t xml:space="preserve"> the </w:t>
      </w:r>
      <w:r w:rsidR="00BC7F1E" w:rsidRPr="00816DDD">
        <w:rPr>
          <w:szCs w:val="24"/>
        </w:rPr>
        <w:t>assets</w:t>
      </w:r>
      <w:r w:rsidR="0058330F" w:rsidRPr="00816DDD">
        <w:rPr>
          <w:szCs w:val="24"/>
        </w:rPr>
        <w:t xml:space="preserve"> </w:t>
      </w:r>
      <w:r w:rsidR="003216E1" w:rsidRPr="00816DDD">
        <w:rPr>
          <w:szCs w:val="24"/>
        </w:rPr>
        <w:t xml:space="preserve">in the future </w:t>
      </w:r>
      <w:r w:rsidR="0058330F" w:rsidRPr="00816DDD">
        <w:rPr>
          <w:szCs w:val="24"/>
        </w:rPr>
        <w:t>a</w:t>
      </w:r>
      <w:r w:rsidR="00B516D0" w:rsidRPr="00816DDD">
        <w:rPr>
          <w:szCs w:val="24"/>
        </w:rPr>
        <w:t xml:space="preserve">t a </w:t>
      </w:r>
      <w:r w:rsidR="00C17BB8" w:rsidRPr="00816DDD">
        <w:rPr>
          <w:szCs w:val="24"/>
        </w:rPr>
        <w:t xml:space="preserve">specified </w:t>
      </w:r>
      <w:r w:rsidR="00B516D0" w:rsidRPr="00816DDD">
        <w:rPr>
          <w:szCs w:val="24"/>
        </w:rPr>
        <w:t>price</w:t>
      </w:r>
      <w:r w:rsidR="0058330F" w:rsidRPr="00816DDD">
        <w:rPr>
          <w:szCs w:val="24"/>
        </w:rPr>
        <w:t xml:space="preserve">.  When </w:t>
      </w:r>
      <w:r w:rsidR="00B516D0" w:rsidRPr="00816DDD">
        <w:rPr>
          <w:szCs w:val="24"/>
        </w:rPr>
        <w:t xml:space="preserve">the </w:t>
      </w:r>
      <w:r w:rsidR="004C7F2A">
        <w:rPr>
          <w:szCs w:val="24"/>
        </w:rPr>
        <w:t>company</w:t>
      </w:r>
      <w:r w:rsidR="0058330F" w:rsidRPr="00816DDD">
        <w:rPr>
          <w:szCs w:val="24"/>
        </w:rPr>
        <w:t xml:space="preserve"> “short</w:t>
      </w:r>
      <w:r w:rsidR="00CE4548" w:rsidRPr="00816DDD">
        <w:rPr>
          <w:szCs w:val="24"/>
        </w:rPr>
        <w:t>s</w:t>
      </w:r>
      <w:r w:rsidR="0058330F" w:rsidRPr="00816DDD">
        <w:rPr>
          <w:szCs w:val="24"/>
        </w:rPr>
        <w:t xml:space="preserve">” </w:t>
      </w:r>
      <w:r w:rsidR="004636E3" w:rsidRPr="00816DDD">
        <w:rPr>
          <w:szCs w:val="24"/>
        </w:rPr>
        <w:t>the</w:t>
      </w:r>
      <w:r w:rsidR="0058330F" w:rsidRPr="00816DDD">
        <w:rPr>
          <w:szCs w:val="24"/>
        </w:rPr>
        <w:t xml:space="preserve"> asset, </w:t>
      </w:r>
      <w:r w:rsidR="00B516D0" w:rsidRPr="00816DDD">
        <w:rPr>
          <w:szCs w:val="24"/>
        </w:rPr>
        <w:t xml:space="preserve">it </w:t>
      </w:r>
      <w:r w:rsidR="00B303EA" w:rsidRPr="00816DDD">
        <w:rPr>
          <w:szCs w:val="24"/>
        </w:rPr>
        <w:t>profits</w:t>
      </w:r>
      <w:r w:rsidR="00DB31A5" w:rsidRPr="00816DDD">
        <w:rPr>
          <w:szCs w:val="24"/>
        </w:rPr>
        <w:t xml:space="preserve"> </w:t>
      </w:r>
      <w:r w:rsidR="0058330F" w:rsidRPr="00816DDD">
        <w:rPr>
          <w:szCs w:val="24"/>
        </w:rPr>
        <w:t>from</w:t>
      </w:r>
      <w:r w:rsidR="003216E1" w:rsidRPr="00816DDD">
        <w:rPr>
          <w:szCs w:val="24"/>
        </w:rPr>
        <w:t xml:space="preserve"> </w:t>
      </w:r>
      <w:r w:rsidR="0058330F" w:rsidRPr="00816DDD">
        <w:rPr>
          <w:szCs w:val="24"/>
        </w:rPr>
        <w:t>falling price</w:t>
      </w:r>
      <w:r w:rsidR="003216E1" w:rsidRPr="00816DDD">
        <w:rPr>
          <w:szCs w:val="24"/>
        </w:rPr>
        <w:t>s</w:t>
      </w:r>
      <w:r w:rsidR="00CA277A" w:rsidRPr="00816DDD">
        <w:rPr>
          <w:szCs w:val="24"/>
        </w:rPr>
        <w:t xml:space="preserve">, </w:t>
      </w:r>
      <w:r w:rsidR="00DB31A5" w:rsidRPr="00816DDD">
        <w:rPr>
          <w:szCs w:val="24"/>
        </w:rPr>
        <w:t>which</w:t>
      </w:r>
      <w:r w:rsidR="00B516D0" w:rsidRPr="00816DDD">
        <w:rPr>
          <w:szCs w:val="24"/>
        </w:rPr>
        <w:t xml:space="preserve"> </w:t>
      </w:r>
      <w:r w:rsidR="0058330F" w:rsidRPr="00816DDD">
        <w:rPr>
          <w:szCs w:val="24"/>
        </w:rPr>
        <w:t>compensate</w:t>
      </w:r>
      <w:r w:rsidR="004636E3" w:rsidRPr="00816DDD">
        <w:rPr>
          <w:szCs w:val="24"/>
        </w:rPr>
        <w:t>s</w:t>
      </w:r>
      <w:r w:rsidR="0058330F" w:rsidRPr="00816DDD">
        <w:rPr>
          <w:szCs w:val="24"/>
        </w:rPr>
        <w:t xml:space="preserve"> for </w:t>
      </w:r>
      <w:r w:rsidR="00A67830" w:rsidRPr="00816DDD">
        <w:rPr>
          <w:szCs w:val="24"/>
        </w:rPr>
        <w:t xml:space="preserve">the </w:t>
      </w:r>
      <w:r w:rsidR="004636E3" w:rsidRPr="00816DDD">
        <w:rPr>
          <w:szCs w:val="24"/>
        </w:rPr>
        <w:t>l</w:t>
      </w:r>
      <w:r w:rsidR="0058330F" w:rsidRPr="00816DDD">
        <w:rPr>
          <w:szCs w:val="24"/>
        </w:rPr>
        <w:t>ower price</w:t>
      </w:r>
      <w:r w:rsidR="004636E3" w:rsidRPr="00816DDD">
        <w:rPr>
          <w:szCs w:val="24"/>
        </w:rPr>
        <w:t>s</w:t>
      </w:r>
      <w:r w:rsidR="0058330F" w:rsidRPr="00816DDD">
        <w:rPr>
          <w:szCs w:val="24"/>
        </w:rPr>
        <w:t xml:space="preserve"> </w:t>
      </w:r>
      <w:r w:rsidR="00A67830" w:rsidRPr="00816DDD">
        <w:rPr>
          <w:szCs w:val="24"/>
        </w:rPr>
        <w:t xml:space="preserve">received </w:t>
      </w:r>
      <w:r w:rsidR="0058330F" w:rsidRPr="00816DDD">
        <w:rPr>
          <w:szCs w:val="24"/>
        </w:rPr>
        <w:t xml:space="preserve">when </w:t>
      </w:r>
      <w:r w:rsidR="004A664C" w:rsidRPr="00816DDD">
        <w:rPr>
          <w:szCs w:val="24"/>
        </w:rPr>
        <w:t xml:space="preserve">the assets are </w:t>
      </w:r>
      <w:r w:rsidR="00E954A0" w:rsidRPr="00816DDD">
        <w:rPr>
          <w:szCs w:val="24"/>
        </w:rPr>
        <w:t xml:space="preserve">eventually </w:t>
      </w:r>
      <w:r w:rsidR="004A664C" w:rsidRPr="00816DDD">
        <w:rPr>
          <w:szCs w:val="24"/>
        </w:rPr>
        <w:t>sold</w:t>
      </w:r>
      <w:r w:rsidR="0058330F" w:rsidRPr="00816DDD">
        <w:rPr>
          <w:szCs w:val="24"/>
        </w:rPr>
        <w:t xml:space="preserve">.  </w:t>
      </w:r>
      <w:r w:rsidR="004A664C" w:rsidRPr="00816DDD">
        <w:rPr>
          <w:szCs w:val="24"/>
        </w:rPr>
        <w:t xml:space="preserve">The business </w:t>
      </w:r>
      <w:r w:rsidR="00EA3579" w:rsidRPr="00816DDD">
        <w:rPr>
          <w:szCs w:val="24"/>
        </w:rPr>
        <w:t>was able to lock in the</w:t>
      </w:r>
      <w:r w:rsidR="00DB31A5" w:rsidRPr="00816DDD">
        <w:rPr>
          <w:szCs w:val="24"/>
        </w:rPr>
        <w:t xml:space="preserve"> future </w:t>
      </w:r>
      <w:r w:rsidR="00EB40B7" w:rsidRPr="00816DDD">
        <w:rPr>
          <w:szCs w:val="24"/>
        </w:rPr>
        <w:t>price,</w:t>
      </w:r>
      <w:r w:rsidR="00DB31A5" w:rsidRPr="00816DDD">
        <w:rPr>
          <w:szCs w:val="24"/>
        </w:rPr>
        <w:t xml:space="preserve"> </w:t>
      </w:r>
      <w:r w:rsidR="00EA3579" w:rsidRPr="00816DDD">
        <w:rPr>
          <w:szCs w:val="24"/>
        </w:rPr>
        <w:t xml:space="preserve">eliminating </w:t>
      </w:r>
      <w:r w:rsidR="00BC7F1E" w:rsidRPr="00816DDD">
        <w:rPr>
          <w:szCs w:val="24"/>
        </w:rPr>
        <w:t>a potential decline in revenue</w:t>
      </w:r>
      <w:r w:rsidR="004636E3" w:rsidRPr="00816DDD">
        <w:rPr>
          <w:szCs w:val="24"/>
        </w:rPr>
        <w:t>s</w:t>
      </w:r>
      <w:r w:rsidR="00BC7F1E" w:rsidRPr="00816DDD">
        <w:rPr>
          <w:szCs w:val="24"/>
        </w:rPr>
        <w:t>.</w:t>
      </w:r>
    </w:p>
    <w:p w14:paraId="6E85D748" w14:textId="77777777" w:rsidR="00236845" w:rsidRPr="00816DDD" w:rsidRDefault="00236845" w:rsidP="00ED1A07">
      <w:pPr>
        <w:spacing w:after="0" w:line="240" w:lineRule="auto"/>
        <w:ind w:left="360"/>
        <w:rPr>
          <w:szCs w:val="24"/>
        </w:rPr>
      </w:pPr>
    </w:p>
    <w:p w14:paraId="71B0183B" w14:textId="2741732B" w:rsidR="00367499" w:rsidRPr="00816DDD" w:rsidRDefault="0058330F" w:rsidP="00845562">
      <w:pPr>
        <w:spacing w:after="0" w:line="240" w:lineRule="auto"/>
        <w:ind w:left="360" w:right="-36"/>
        <w:rPr>
          <w:szCs w:val="24"/>
        </w:rPr>
      </w:pPr>
      <w:r w:rsidRPr="00816DDD">
        <w:rPr>
          <w:szCs w:val="24"/>
        </w:rPr>
        <w:t xml:space="preserve">For example, </w:t>
      </w:r>
      <w:r w:rsidR="00236845" w:rsidRPr="00816DDD">
        <w:rPr>
          <w:szCs w:val="24"/>
        </w:rPr>
        <w:t xml:space="preserve">a mining </w:t>
      </w:r>
      <w:r w:rsidR="00EA0903" w:rsidRPr="00816DDD">
        <w:rPr>
          <w:szCs w:val="24"/>
        </w:rPr>
        <w:t xml:space="preserve">company has </w:t>
      </w:r>
      <w:r w:rsidR="00236845" w:rsidRPr="00816DDD">
        <w:rPr>
          <w:szCs w:val="24"/>
        </w:rPr>
        <w:t>100</w:t>
      </w:r>
      <w:r w:rsidR="00EA0903" w:rsidRPr="00816DDD">
        <w:rPr>
          <w:szCs w:val="24"/>
        </w:rPr>
        <w:t xml:space="preserve">,000 </w:t>
      </w:r>
      <w:r w:rsidR="00236845" w:rsidRPr="00816DDD">
        <w:rPr>
          <w:szCs w:val="24"/>
        </w:rPr>
        <w:t>pounds of copper</w:t>
      </w:r>
      <w:r w:rsidR="00DD1B5B" w:rsidRPr="00816DDD">
        <w:rPr>
          <w:szCs w:val="24"/>
        </w:rPr>
        <w:t xml:space="preserve"> inventory that it </w:t>
      </w:r>
      <w:r w:rsidR="00EA0903" w:rsidRPr="00816DDD">
        <w:rPr>
          <w:szCs w:val="24"/>
        </w:rPr>
        <w:t>plans to sell</w:t>
      </w:r>
      <w:r w:rsidR="00DD1B5B" w:rsidRPr="00816DDD">
        <w:rPr>
          <w:szCs w:val="24"/>
        </w:rPr>
        <w:t xml:space="preserve"> </w:t>
      </w:r>
      <w:r w:rsidR="00EA0903" w:rsidRPr="00816DDD">
        <w:rPr>
          <w:szCs w:val="24"/>
        </w:rPr>
        <w:t>in three months</w:t>
      </w:r>
      <w:r w:rsidR="00DD1B5B" w:rsidRPr="00816DDD">
        <w:rPr>
          <w:szCs w:val="24"/>
        </w:rPr>
        <w:t xml:space="preserve">, </w:t>
      </w:r>
      <w:r w:rsidR="00EA0903" w:rsidRPr="00816DDD">
        <w:rPr>
          <w:szCs w:val="24"/>
        </w:rPr>
        <w:t>but</w:t>
      </w:r>
      <w:r w:rsidR="004636E3" w:rsidRPr="00816DDD">
        <w:rPr>
          <w:szCs w:val="24"/>
        </w:rPr>
        <w:t xml:space="preserve"> it </w:t>
      </w:r>
      <w:r w:rsidR="00EA0903" w:rsidRPr="00816DDD">
        <w:rPr>
          <w:szCs w:val="24"/>
        </w:rPr>
        <w:t xml:space="preserve">is </w:t>
      </w:r>
      <w:r w:rsidR="00DD1B5B" w:rsidRPr="00816DDD">
        <w:rPr>
          <w:szCs w:val="24"/>
        </w:rPr>
        <w:t xml:space="preserve">concerned that </w:t>
      </w:r>
      <w:r w:rsidR="00B21F14" w:rsidRPr="00816DDD">
        <w:rPr>
          <w:szCs w:val="24"/>
        </w:rPr>
        <w:t xml:space="preserve">the spot price </w:t>
      </w:r>
      <w:r w:rsidR="00DD1B5B" w:rsidRPr="00816DDD">
        <w:rPr>
          <w:szCs w:val="24"/>
        </w:rPr>
        <w:t>will fall</w:t>
      </w:r>
      <w:r w:rsidR="00EA0903" w:rsidRPr="00816DDD">
        <w:rPr>
          <w:szCs w:val="24"/>
        </w:rPr>
        <w:t xml:space="preserve">. </w:t>
      </w:r>
      <w:r w:rsidR="004636E3" w:rsidRPr="00816DDD">
        <w:rPr>
          <w:szCs w:val="24"/>
        </w:rPr>
        <w:t xml:space="preserve"> </w:t>
      </w:r>
      <w:r w:rsidR="00DD3D19" w:rsidRPr="00816DDD">
        <w:rPr>
          <w:szCs w:val="24"/>
        </w:rPr>
        <w:t xml:space="preserve">It </w:t>
      </w:r>
      <w:r w:rsidR="00EA0903" w:rsidRPr="00816DDD">
        <w:rPr>
          <w:szCs w:val="24"/>
        </w:rPr>
        <w:t>purchase</w:t>
      </w:r>
      <w:r w:rsidR="002418AE" w:rsidRPr="00816DDD">
        <w:rPr>
          <w:szCs w:val="24"/>
        </w:rPr>
        <w:t>d</w:t>
      </w:r>
      <w:r w:rsidR="00EA0903" w:rsidRPr="00816DDD">
        <w:rPr>
          <w:szCs w:val="24"/>
        </w:rPr>
        <w:t xml:space="preserve"> </w:t>
      </w:r>
      <w:r w:rsidR="00E70968" w:rsidRPr="00816DDD">
        <w:rPr>
          <w:szCs w:val="24"/>
        </w:rPr>
        <w:t>four</w:t>
      </w:r>
      <w:r w:rsidR="00D235B9">
        <w:rPr>
          <w:szCs w:val="24"/>
        </w:rPr>
        <w:t xml:space="preserve"> </w:t>
      </w:r>
      <w:r w:rsidR="00E70968" w:rsidRPr="00816DDD">
        <w:rPr>
          <w:szCs w:val="24"/>
        </w:rPr>
        <w:t>25,000</w:t>
      </w:r>
      <w:r w:rsidR="00192DFF" w:rsidRPr="00816DDD">
        <w:rPr>
          <w:szCs w:val="24"/>
        </w:rPr>
        <w:t>-</w:t>
      </w:r>
      <w:r w:rsidR="00BC7F1E" w:rsidRPr="00816DDD">
        <w:rPr>
          <w:szCs w:val="24"/>
        </w:rPr>
        <w:t>pound</w:t>
      </w:r>
      <w:r w:rsidR="00E70968" w:rsidRPr="00816DDD">
        <w:rPr>
          <w:szCs w:val="24"/>
        </w:rPr>
        <w:t xml:space="preserve"> copper</w:t>
      </w:r>
      <w:r w:rsidR="00EA0903" w:rsidRPr="00816DDD">
        <w:rPr>
          <w:szCs w:val="24"/>
        </w:rPr>
        <w:t xml:space="preserve"> futures co</w:t>
      </w:r>
      <w:r w:rsidR="00E70968" w:rsidRPr="00816DDD">
        <w:rPr>
          <w:szCs w:val="24"/>
        </w:rPr>
        <w:t xml:space="preserve">ntracts with </w:t>
      </w:r>
      <w:r w:rsidR="00DD1B5B" w:rsidRPr="00816DDD">
        <w:rPr>
          <w:szCs w:val="24"/>
        </w:rPr>
        <w:t xml:space="preserve">delivery in three months at </w:t>
      </w:r>
      <w:r w:rsidR="00E70968" w:rsidRPr="00816DDD">
        <w:rPr>
          <w:szCs w:val="24"/>
        </w:rPr>
        <w:t>a final settlement price of USD 3.8365</w:t>
      </w:r>
      <w:r w:rsidR="00E703A4" w:rsidRPr="00816DDD">
        <w:rPr>
          <w:szCs w:val="24"/>
        </w:rPr>
        <w:t>.</w:t>
      </w:r>
      <w:r w:rsidR="00550D7C" w:rsidRPr="00816DDD">
        <w:rPr>
          <w:szCs w:val="24"/>
        </w:rPr>
        <w:t xml:space="preserve"> </w:t>
      </w:r>
      <w:r w:rsidR="00E70968" w:rsidRPr="00816DDD">
        <w:rPr>
          <w:szCs w:val="24"/>
        </w:rPr>
        <w:t xml:space="preserve"> If the spot price </w:t>
      </w:r>
      <w:r w:rsidR="004466D4">
        <w:rPr>
          <w:szCs w:val="24"/>
        </w:rPr>
        <w:t>were</w:t>
      </w:r>
      <w:r w:rsidR="00E70968" w:rsidRPr="00816DDD">
        <w:rPr>
          <w:szCs w:val="24"/>
        </w:rPr>
        <w:t xml:space="preserve"> USD </w:t>
      </w:r>
      <w:r w:rsidR="00192DFF" w:rsidRPr="00816DDD">
        <w:rPr>
          <w:szCs w:val="24"/>
        </w:rPr>
        <w:t>2.2</w:t>
      </w:r>
      <w:r w:rsidR="00E70968" w:rsidRPr="00816DDD">
        <w:rPr>
          <w:szCs w:val="24"/>
        </w:rPr>
        <w:t>104</w:t>
      </w:r>
      <w:r w:rsidR="00A235AA" w:rsidRPr="00816DDD">
        <w:rPr>
          <w:szCs w:val="24"/>
        </w:rPr>
        <w:t xml:space="preserve"> </w:t>
      </w:r>
      <w:r w:rsidR="00E70968" w:rsidRPr="00816DDD">
        <w:rPr>
          <w:szCs w:val="24"/>
        </w:rPr>
        <w:t>on the final settlement date</w:t>
      </w:r>
      <w:r w:rsidR="00192DFF" w:rsidRPr="00816DDD">
        <w:rPr>
          <w:szCs w:val="24"/>
        </w:rPr>
        <w:t xml:space="preserve">, the company would </w:t>
      </w:r>
      <w:r w:rsidR="0017400C" w:rsidRPr="00816DDD">
        <w:rPr>
          <w:szCs w:val="24"/>
        </w:rPr>
        <w:t>gain</w:t>
      </w:r>
      <w:r w:rsidR="00192DFF" w:rsidRPr="00816DDD">
        <w:rPr>
          <w:szCs w:val="24"/>
        </w:rPr>
        <w:t xml:space="preserve"> USD 162,610</w:t>
      </w:r>
      <w:r w:rsidR="00DD1B5B" w:rsidRPr="00816DDD">
        <w:rPr>
          <w:szCs w:val="24"/>
        </w:rPr>
        <w:t xml:space="preserve"> </w:t>
      </w:r>
      <w:r w:rsidR="00192DFF" w:rsidRPr="00816DDD">
        <w:rPr>
          <w:szCs w:val="24"/>
        </w:rPr>
        <w:t>((3.8365 – 2.2104) x 25,000 x 4)</w:t>
      </w:r>
      <w:r w:rsidR="00E703A4" w:rsidRPr="00816DDD">
        <w:rPr>
          <w:szCs w:val="24"/>
        </w:rPr>
        <w:t xml:space="preserve"> </w:t>
      </w:r>
      <w:r w:rsidR="0017400C" w:rsidRPr="00816DDD">
        <w:rPr>
          <w:szCs w:val="24"/>
        </w:rPr>
        <w:t>on</w:t>
      </w:r>
      <w:r w:rsidR="00696E53" w:rsidRPr="00816DDD">
        <w:rPr>
          <w:szCs w:val="24"/>
        </w:rPr>
        <w:t xml:space="preserve"> the futures contract </w:t>
      </w:r>
      <w:r w:rsidR="00C31841" w:rsidRPr="00816DDD">
        <w:rPr>
          <w:szCs w:val="24"/>
        </w:rPr>
        <w:t>when the position is close</w:t>
      </w:r>
      <w:r w:rsidR="00C17BB8" w:rsidRPr="00816DDD">
        <w:rPr>
          <w:szCs w:val="24"/>
        </w:rPr>
        <w:t>d</w:t>
      </w:r>
      <w:r w:rsidR="00C31841" w:rsidRPr="00816DDD">
        <w:rPr>
          <w:szCs w:val="24"/>
        </w:rPr>
        <w:t xml:space="preserve"> out </w:t>
      </w:r>
      <w:r w:rsidR="00E703A4" w:rsidRPr="00816DDD">
        <w:rPr>
          <w:szCs w:val="24"/>
        </w:rPr>
        <w:t>which would</w:t>
      </w:r>
      <w:r w:rsidR="00FF624B" w:rsidRPr="00816DDD">
        <w:rPr>
          <w:szCs w:val="24"/>
        </w:rPr>
        <w:t xml:space="preserve"> </w:t>
      </w:r>
      <w:r w:rsidR="00E703A4" w:rsidRPr="00816DDD">
        <w:rPr>
          <w:szCs w:val="24"/>
        </w:rPr>
        <w:t>cover its losses of USD 162</w:t>
      </w:r>
      <w:r w:rsidR="007C5D20" w:rsidRPr="00816DDD">
        <w:rPr>
          <w:szCs w:val="24"/>
        </w:rPr>
        <w:t>,610</w:t>
      </w:r>
      <w:r w:rsidR="00E703A4" w:rsidRPr="00816DDD">
        <w:rPr>
          <w:szCs w:val="24"/>
        </w:rPr>
        <w:t xml:space="preserve"> </w:t>
      </w:r>
      <w:r w:rsidR="00CE234D" w:rsidRPr="00816DDD">
        <w:rPr>
          <w:szCs w:val="24"/>
        </w:rPr>
        <w:t>(</w:t>
      </w:r>
      <w:r w:rsidR="00E703A4" w:rsidRPr="00816DDD">
        <w:rPr>
          <w:szCs w:val="24"/>
        </w:rPr>
        <w:t>(2.2104 – 3.83</w:t>
      </w:r>
      <w:r w:rsidR="007C5D20" w:rsidRPr="00816DDD">
        <w:rPr>
          <w:szCs w:val="24"/>
        </w:rPr>
        <w:t>65</w:t>
      </w:r>
      <w:r w:rsidR="00E703A4" w:rsidRPr="00816DDD">
        <w:rPr>
          <w:szCs w:val="24"/>
        </w:rPr>
        <w:t>) x 25,000 x 4)</w:t>
      </w:r>
      <w:r w:rsidR="00EC5E41" w:rsidRPr="00816DDD">
        <w:rPr>
          <w:szCs w:val="24"/>
        </w:rPr>
        <w:t xml:space="preserve"> from holding the </w:t>
      </w:r>
      <w:r w:rsidR="00E04177" w:rsidRPr="00816DDD">
        <w:rPr>
          <w:szCs w:val="24"/>
        </w:rPr>
        <w:t>copper</w:t>
      </w:r>
      <w:r w:rsidR="00C31841" w:rsidRPr="00816DDD">
        <w:rPr>
          <w:szCs w:val="24"/>
        </w:rPr>
        <w:t xml:space="preserve"> and </w:t>
      </w:r>
      <w:r w:rsidR="00C17BB8" w:rsidRPr="00816DDD">
        <w:rPr>
          <w:szCs w:val="24"/>
        </w:rPr>
        <w:t xml:space="preserve">later </w:t>
      </w:r>
      <w:r w:rsidR="00C31841" w:rsidRPr="00816DDD">
        <w:rPr>
          <w:szCs w:val="24"/>
        </w:rPr>
        <w:t xml:space="preserve">selling </w:t>
      </w:r>
      <w:r w:rsidR="00E04177" w:rsidRPr="00816DDD">
        <w:rPr>
          <w:szCs w:val="24"/>
        </w:rPr>
        <w:t xml:space="preserve">it </w:t>
      </w:r>
      <w:r w:rsidR="00C31841" w:rsidRPr="00816DDD">
        <w:rPr>
          <w:szCs w:val="24"/>
        </w:rPr>
        <w:t xml:space="preserve">at a lower </w:t>
      </w:r>
      <w:r w:rsidR="00B21F14" w:rsidRPr="00816DDD">
        <w:rPr>
          <w:szCs w:val="24"/>
        </w:rPr>
        <w:t>spot price</w:t>
      </w:r>
      <w:r w:rsidR="00C17BB8" w:rsidRPr="00816DDD">
        <w:rPr>
          <w:szCs w:val="24"/>
        </w:rPr>
        <w:t xml:space="preserve"> in the cash market</w:t>
      </w:r>
      <w:r w:rsidR="00E703A4" w:rsidRPr="00816DDD">
        <w:rPr>
          <w:szCs w:val="24"/>
        </w:rPr>
        <w:t xml:space="preserve">.  </w:t>
      </w:r>
      <w:r w:rsidR="00367499" w:rsidRPr="00816DDD">
        <w:rPr>
          <w:szCs w:val="24"/>
        </w:rPr>
        <w:t xml:space="preserve">The spot or cash price is the price </w:t>
      </w:r>
      <w:r w:rsidR="003E6E98">
        <w:rPr>
          <w:szCs w:val="24"/>
        </w:rPr>
        <w:t xml:space="preserve">at which </w:t>
      </w:r>
      <w:r w:rsidR="00367499" w:rsidRPr="00816DDD">
        <w:rPr>
          <w:szCs w:val="24"/>
        </w:rPr>
        <w:t xml:space="preserve">the underlying assets </w:t>
      </w:r>
      <w:r w:rsidR="00D10438" w:rsidRPr="00816DDD">
        <w:rPr>
          <w:szCs w:val="24"/>
        </w:rPr>
        <w:t xml:space="preserve">can be bought or sold today.  When the underlying asset is bought or sold for cash or other </w:t>
      </w:r>
      <w:r w:rsidR="00845562" w:rsidRPr="00816DDD">
        <w:rPr>
          <w:szCs w:val="24"/>
        </w:rPr>
        <w:t>consideration</w:t>
      </w:r>
      <w:r w:rsidR="00D10438" w:rsidRPr="00816DDD">
        <w:rPr>
          <w:szCs w:val="24"/>
        </w:rPr>
        <w:t>, the trader is said to be operating in the cash market.</w:t>
      </w:r>
    </w:p>
    <w:p w14:paraId="629265D2" w14:textId="77777777" w:rsidR="00ED1A07" w:rsidRPr="00816DDD" w:rsidRDefault="00ED1A07" w:rsidP="00845562">
      <w:pPr>
        <w:spacing w:after="0" w:line="240" w:lineRule="auto"/>
        <w:rPr>
          <w:szCs w:val="24"/>
        </w:rPr>
      </w:pPr>
    </w:p>
    <w:p w14:paraId="32129988" w14:textId="3DF7BCC6" w:rsidR="009A7EBD" w:rsidRPr="00816DDD" w:rsidRDefault="00ED1A07" w:rsidP="00AA3223">
      <w:pPr>
        <w:spacing w:after="0" w:line="240" w:lineRule="auto"/>
        <w:ind w:left="360"/>
        <w:rPr>
          <w:szCs w:val="24"/>
        </w:rPr>
      </w:pPr>
      <w:r w:rsidRPr="00816DDD">
        <w:rPr>
          <w:b/>
          <w:bCs/>
          <w:szCs w:val="24"/>
        </w:rPr>
        <w:t>Long hedge.</w:t>
      </w:r>
      <w:r w:rsidR="00AD2A7F" w:rsidRPr="00816DDD">
        <w:rPr>
          <w:b/>
          <w:bCs/>
          <w:szCs w:val="24"/>
        </w:rPr>
        <w:t xml:space="preserve"> </w:t>
      </w:r>
      <w:r w:rsidR="00AD2A7F" w:rsidRPr="00816DDD">
        <w:rPr>
          <w:szCs w:val="24"/>
        </w:rPr>
        <w:t xml:space="preserve"> This hedge is used when a</w:t>
      </w:r>
      <w:r w:rsidR="00AA3223" w:rsidRPr="00816DDD">
        <w:rPr>
          <w:szCs w:val="24"/>
        </w:rPr>
        <w:t xml:space="preserve"> business </w:t>
      </w:r>
      <w:r w:rsidR="00AD2A7F" w:rsidRPr="00816DDD">
        <w:rPr>
          <w:szCs w:val="24"/>
        </w:rPr>
        <w:t xml:space="preserve">plans </w:t>
      </w:r>
      <w:r w:rsidR="00AA3223" w:rsidRPr="00816DDD">
        <w:rPr>
          <w:szCs w:val="24"/>
        </w:rPr>
        <w:t>to buy assets</w:t>
      </w:r>
      <w:r w:rsidR="00AD2A7F" w:rsidRPr="00816DDD">
        <w:rPr>
          <w:szCs w:val="24"/>
        </w:rPr>
        <w:t xml:space="preserve"> like raw materials</w:t>
      </w:r>
      <w:r w:rsidR="00AA3223" w:rsidRPr="00816DDD">
        <w:rPr>
          <w:szCs w:val="24"/>
        </w:rPr>
        <w:t xml:space="preserve"> in the future </w:t>
      </w:r>
      <w:r w:rsidR="00BD3AE9" w:rsidRPr="00816DDD">
        <w:rPr>
          <w:szCs w:val="24"/>
        </w:rPr>
        <w:t xml:space="preserve">but wants to protect itself from the </w:t>
      </w:r>
      <w:r w:rsidR="00C17BB8" w:rsidRPr="00816DDD">
        <w:rPr>
          <w:szCs w:val="24"/>
        </w:rPr>
        <w:t>risk tha</w:t>
      </w:r>
      <w:r w:rsidR="004D28EC" w:rsidRPr="00816DDD">
        <w:rPr>
          <w:szCs w:val="24"/>
        </w:rPr>
        <w:t xml:space="preserve">t </w:t>
      </w:r>
      <w:r w:rsidR="00B21F14" w:rsidRPr="00816DDD">
        <w:rPr>
          <w:szCs w:val="24"/>
        </w:rPr>
        <w:t>price</w:t>
      </w:r>
      <w:r w:rsidR="004D28EC" w:rsidRPr="00816DDD">
        <w:rPr>
          <w:szCs w:val="24"/>
        </w:rPr>
        <w:t>s</w:t>
      </w:r>
      <w:r w:rsidR="00B21F14" w:rsidRPr="00816DDD">
        <w:rPr>
          <w:szCs w:val="24"/>
        </w:rPr>
        <w:t xml:space="preserve"> </w:t>
      </w:r>
      <w:r w:rsidR="00EB5763" w:rsidRPr="00816DDD">
        <w:rPr>
          <w:szCs w:val="24"/>
        </w:rPr>
        <w:t>may</w:t>
      </w:r>
      <w:r w:rsidR="00C17BB8" w:rsidRPr="00816DDD">
        <w:rPr>
          <w:szCs w:val="24"/>
        </w:rPr>
        <w:t xml:space="preserve"> rise in the interim</w:t>
      </w:r>
      <w:r w:rsidR="00AA3223" w:rsidRPr="00816DDD">
        <w:rPr>
          <w:szCs w:val="24"/>
        </w:rPr>
        <w:t>.  To hedge th</w:t>
      </w:r>
      <w:r w:rsidR="00C17BB8" w:rsidRPr="00816DDD">
        <w:rPr>
          <w:szCs w:val="24"/>
        </w:rPr>
        <w:t>ese</w:t>
      </w:r>
      <w:r w:rsidR="00AA3223" w:rsidRPr="00816DDD">
        <w:rPr>
          <w:szCs w:val="24"/>
        </w:rPr>
        <w:t xml:space="preserve"> transaction</w:t>
      </w:r>
      <w:r w:rsidR="00C17BB8" w:rsidRPr="00816DDD">
        <w:rPr>
          <w:szCs w:val="24"/>
        </w:rPr>
        <w:t>s</w:t>
      </w:r>
      <w:r w:rsidR="00AA3223" w:rsidRPr="00816DDD">
        <w:rPr>
          <w:szCs w:val="24"/>
        </w:rPr>
        <w:t xml:space="preserve">, </w:t>
      </w:r>
      <w:r w:rsidR="00C17BB8" w:rsidRPr="00816DDD">
        <w:rPr>
          <w:szCs w:val="24"/>
        </w:rPr>
        <w:t xml:space="preserve">a business </w:t>
      </w:r>
      <w:r w:rsidR="00AA3223" w:rsidRPr="00816DDD">
        <w:rPr>
          <w:szCs w:val="24"/>
        </w:rPr>
        <w:t>go</w:t>
      </w:r>
      <w:r w:rsidR="00C17BB8" w:rsidRPr="00816DDD">
        <w:rPr>
          <w:szCs w:val="24"/>
        </w:rPr>
        <w:t>es</w:t>
      </w:r>
      <w:r w:rsidR="00AA3223" w:rsidRPr="00816DDD">
        <w:rPr>
          <w:szCs w:val="24"/>
        </w:rPr>
        <w:t xml:space="preserve"> “long” i</w:t>
      </w:r>
      <w:r w:rsidR="00C17BB8" w:rsidRPr="00816DDD">
        <w:rPr>
          <w:szCs w:val="24"/>
        </w:rPr>
        <w:t>n the</w:t>
      </w:r>
      <w:r w:rsidR="00AA3223" w:rsidRPr="00816DDD">
        <w:rPr>
          <w:szCs w:val="24"/>
        </w:rPr>
        <w:t xml:space="preserve"> futures </w:t>
      </w:r>
      <w:r w:rsidR="00C17BB8" w:rsidRPr="00816DDD">
        <w:rPr>
          <w:szCs w:val="24"/>
        </w:rPr>
        <w:t xml:space="preserve">market </w:t>
      </w:r>
      <w:r w:rsidR="00AA3223" w:rsidRPr="00816DDD">
        <w:rPr>
          <w:szCs w:val="24"/>
        </w:rPr>
        <w:t>and agree</w:t>
      </w:r>
      <w:r w:rsidR="00C17BB8" w:rsidRPr="00816DDD">
        <w:rPr>
          <w:szCs w:val="24"/>
        </w:rPr>
        <w:t>s</w:t>
      </w:r>
      <w:r w:rsidR="00AA3223" w:rsidRPr="00816DDD">
        <w:rPr>
          <w:szCs w:val="24"/>
        </w:rPr>
        <w:t xml:space="preserve"> to buy th</w:t>
      </w:r>
      <w:r w:rsidR="00AD2A7F" w:rsidRPr="00816DDD">
        <w:rPr>
          <w:szCs w:val="24"/>
        </w:rPr>
        <w:t>e assets in the future</w:t>
      </w:r>
      <w:r w:rsidR="00AA3223" w:rsidRPr="00816DDD">
        <w:rPr>
          <w:szCs w:val="24"/>
        </w:rPr>
        <w:t xml:space="preserve"> at a specified price.  </w:t>
      </w:r>
      <w:r w:rsidR="002A11E1" w:rsidRPr="00816DDD">
        <w:rPr>
          <w:szCs w:val="24"/>
        </w:rPr>
        <w:t xml:space="preserve">When </w:t>
      </w:r>
      <w:r w:rsidR="00AD2A7F" w:rsidRPr="00816DDD">
        <w:rPr>
          <w:szCs w:val="24"/>
        </w:rPr>
        <w:t>the business</w:t>
      </w:r>
      <w:r w:rsidR="002A11E1" w:rsidRPr="00816DDD">
        <w:rPr>
          <w:szCs w:val="24"/>
        </w:rPr>
        <w:t xml:space="preserve"> goes “long,” </w:t>
      </w:r>
      <w:r w:rsidR="00AD2A7F" w:rsidRPr="00816DDD">
        <w:rPr>
          <w:szCs w:val="24"/>
        </w:rPr>
        <w:t xml:space="preserve">it profits </w:t>
      </w:r>
      <w:r w:rsidR="002A11E1" w:rsidRPr="00816DDD">
        <w:rPr>
          <w:szCs w:val="24"/>
        </w:rPr>
        <w:t xml:space="preserve">from rising </w:t>
      </w:r>
      <w:r w:rsidR="00CA277A" w:rsidRPr="00816DDD">
        <w:rPr>
          <w:szCs w:val="24"/>
        </w:rPr>
        <w:t>prices,</w:t>
      </w:r>
      <w:r w:rsidR="00BD3AE9" w:rsidRPr="00816DDD">
        <w:rPr>
          <w:szCs w:val="24"/>
        </w:rPr>
        <w:t xml:space="preserve"> which </w:t>
      </w:r>
      <w:r w:rsidR="00D235B9">
        <w:rPr>
          <w:szCs w:val="24"/>
        </w:rPr>
        <w:t>compensate</w:t>
      </w:r>
      <w:r w:rsidR="002A11E1" w:rsidRPr="00816DDD">
        <w:rPr>
          <w:szCs w:val="24"/>
        </w:rPr>
        <w:t xml:space="preserve"> for</w:t>
      </w:r>
      <w:r w:rsidR="00BD3AE9" w:rsidRPr="00816DDD">
        <w:rPr>
          <w:szCs w:val="24"/>
        </w:rPr>
        <w:t xml:space="preserve"> </w:t>
      </w:r>
      <w:r w:rsidR="00CA277A" w:rsidRPr="00816DDD">
        <w:rPr>
          <w:szCs w:val="24"/>
        </w:rPr>
        <w:t xml:space="preserve">the </w:t>
      </w:r>
      <w:r w:rsidR="002A11E1" w:rsidRPr="00816DDD">
        <w:rPr>
          <w:szCs w:val="24"/>
        </w:rPr>
        <w:t>higher price</w:t>
      </w:r>
      <w:r w:rsidR="00BD3AE9" w:rsidRPr="00816DDD">
        <w:rPr>
          <w:szCs w:val="24"/>
        </w:rPr>
        <w:t>s</w:t>
      </w:r>
      <w:r w:rsidR="002A11E1" w:rsidRPr="00816DDD">
        <w:rPr>
          <w:szCs w:val="24"/>
        </w:rPr>
        <w:t xml:space="preserve"> </w:t>
      </w:r>
      <w:r w:rsidR="00BD3AE9" w:rsidRPr="00816DDD">
        <w:rPr>
          <w:szCs w:val="24"/>
        </w:rPr>
        <w:t xml:space="preserve">paid </w:t>
      </w:r>
      <w:r w:rsidR="002A11E1" w:rsidRPr="00816DDD">
        <w:rPr>
          <w:szCs w:val="24"/>
        </w:rPr>
        <w:t xml:space="preserve">when </w:t>
      </w:r>
      <w:r w:rsidR="00BD3AE9" w:rsidRPr="00816DDD">
        <w:rPr>
          <w:szCs w:val="24"/>
        </w:rPr>
        <w:t xml:space="preserve">the assets are </w:t>
      </w:r>
      <w:r w:rsidR="00E954A0" w:rsidRPr="00816DDD">
        <w:rPr>
          <w:szCs w:val="24"/>
        </w:rPr>
        <w:t xml:space="preserve">eventually </w:t>
      </w:r>
      <w:r w:rsidR="00BD3AE9" w:rsidRPr="00816DDD">
        <w:rPr>
          <w:szCs w:val="24"/>
        </w:rPr>
        <w:t>purchased</w:t>
      </w:r>
      <w:r w:rsidR="002A11E1" w:rsidRPr="00816DDD">
        <w:rPr>
          <w:szCs w:val="24"/>
        </w:rPr>
        <w:t xml:space="preserve">.  The </w:t>
      </w:r>
      <w:r w:rsidR="004466D4">
        <w:rPr>
          <w:szCs w:val="24"/>
        </w:rPr>
        <w:t>company</w:t>
      </w:r>
      <w:r w:rsidR="002A11E1" w:rsidRPr="00816DDD">
        <w:rPr>
          <w:szCs w:val="24"/>
        </w:rPr>
        <w:t xml:space="preserve"> was able to lock in the future price</w:t>
      </w:r>
      <w:r w:rsidR="00BD3AE9" w:rsidRPr="00816DDD">
        <w:rPr>
          <w:szCs w:val="24"/>
        </w:rPr>
        <w:t xml:space="preserve">, thus </w:t>
      </w:r>
      <w:r w:rsidR="002A11E1" w:rsidRPr="00816DDD">
        <w:rPr>
          <w:szCs w:val="24"/>
        </w:rPr>
        <w:t>eliminating a potential increase in costs.</w:t>
      </w:r>
    </w:p>
    <w:p w14:paraId="5C0BE466" w14:textId="078FE07A" w:rsidR="002A11E1" w:rsidRPr="00816DDD" w:rsidRDefault="004F5E1A" w:rsidP="004F5E1A">
      <w:pPr>
        <w:tabs>
          <w:tab w:val="left" w:pos="6510"/>
        </w:tabs>
        <w:spacing w:after="0" w:line="240" w:lineRule="auto"/>
        <w:ind w:left="360"/>
        <w:rPr>
          <w:szCs w:val="24"/>
        </w:rPr>
      </w:pPr>
      <w:r w:rsidRPr="00816DDD">
        <w:rPr>
          <w:szCs w:val="24"/>
        </w:rPr>
        <w:tab/>
      </w:r>
    </w:p>
    <w:p w14:paraId="4C598721" w14:textId="1B6F9B51" w:rsidR="002A11E1" w:rsidRPr="00816DDD" w:rsidRDefault="002A11E1" w:rsidP="00AA3223">
      <w:pPr>
        <w:spacing w:after="0" w:line="240" w:lineRule="auto"/>
        <w:ind w:left="360"/>
        <w:rPr>
          <w:szCs w:val="24"/>
        </w:rPr>
      </w:pPr>
      <w:r w:rsidRPr="00816DDD">
        <w:rPr>
          <w:szCs w:val="24"/>
        </w:rPr>
        <w:t xml:space="preserve">For example, </w:t>
      </w:r>
      <w:r w:rsidR="007F2227" w:rsidRPr="00816DDD">
        <w:rPr>
          <w:szCs w:val="24"/>
        </w:rPr>
        <w:t xml:space="preserve">a flour mill needs </w:t>
      </w:r>
      <w:r w:rsidR="00DD3D19" w:rsidRPr="00816DDD">
        <w:rPr>
          <w:szCs w:val="24"/>
        </w:rPr>
        <w:t xml:space="preserve">100,000 bushels of </w:t>
      </w:r>
      <w:r w:rsidR="00EB5763" w:rsidRPr="00816DDD">
        <w:rPr>
          <w:szCs w:val="24"/>
        </w:rPr>
        <w:t xml:space="preserve">milling </w:t>
      </w:r>
      <w:r w:rsidR="00DD3D19" w:rsidRPr="00816DDD">
        <w:rPr>
          <w:szCs w:val="24"/>
        </w:rPr>
        <w:t xml:space="preserve">wheat </w:t>
      </w:r>
      <w:r w:rsidR="00CA277A" w:rsidRPr="00816DDD">
        <w:rPr>
          <w:szCs w:val="24"/>
        </w:rPr>
        <w:t>in three months, but it is concerned that</w:t>
      </w:r>
      <w:r w:rsidR="00352B94" w:rsidRPr="00816DDD">
        <w:rPr>
          <w:szCs w:val="24"/>
        </w:rPr>
        <w:t xml:space="preserve"> the spot price may rise</w:t>
      </w:r>
      <w:r w:rsidR="002418AE" w:rsidRPr="00816DDD">
        <w:rPr>
          <w:szCs w:val="24"/>
        </w:rPr>
        <w:t xml:space="preserve">.  It purchased twenty 5,000-bushel </w:t>
      </w:r>
      <w:r w:rsidR="00EB5763" w:rsidRPr="00816DDD">
        <w:rPr>
          <w:szCs w:val="24"/>
        </w:rPr>
        <w:t xml:space="preserve">milling </w:t>
      </w:r>
      <w:r w:rsidR="002418AE" w:rsidRPr="00816DDD">
        <w:rPr>
          <w:szCs w:val="24"/>
        </w:rPr>
        <w:t xml:space="preserve">wheat futures contracts with delivery in three months at a final settlement price of USD 8.8903.  If the spot price </w:t>
      </w:r>
      <w:r w:rsidR="004466D4">
        <w:rPr>
          <w:szCs w:val="24"/>
        </w:rPr>
        <w:t>were</w:t>
      </w:r>
      <w:r w:rsidR="002418AE" w:rsidRPr="00816DDD">
        <w:rPr>
          <w:szCs w:val="24"/>
        </w:rPr>
        <w:t xml:space="preserve"> USD 11.5293 on the final settlement date, the company would </w:t>
      </w:r>
      <w:r w:rsidR="0017400C" w:rsidRPr="00816DDD">
        <w:rPr>
          <w:szCs w:val="24"/>
        </w:rPr>
        <w:t>gain</w:t>
      </w:r>
      <w:r w:rsidR="002418AE" w:rsidRPr="00816DDD">
        <w:rPr>
          <w:szCs w:val="24"/>
        </w:rPr>
        <w:t xml:space="preserve"> USD</w:t>
      </w:r>
      <w:r w:rsidR="00EC5E41" w:rsidRPr="00816DDD">
        <w:rPr>
          <w:szCs w:val="24"/>
        </w:rPr>
        <w:t xml:space="preserve"> 263,900</w:t>
      </w:r>
      <w:r w:rsidR="002418AE" w:rsidRPr="00816DDD">
        <w:rPr>
          <w:szCs w:val="24"/>
        </w:rPr>
        <w:t xml:space="preserve"> (</w:t>
      </w:r>
      <w:r w:rsidR="00EC5E41" w:rsidRPr="00816DDD">
        <w:rPr>
          <w:szCs w:val="24"/>
        </w:rPr>
        <w:t xml:space="preserve">(11.5293 – 8.8903) x 5,000 x 20) </w:t>
      </w:r>
      <w:r w:rsidR="0017400C" w:rsidRPr="00816DDD">
        <w:rPr>
          <w:szCs w:val="24"/>
        </w:rPr>
        <w:t>on</w:t>
      </w:r>
      <w:r w:rsidR="00EC5E41" w:rsidRPr="00816DDD">
        <w:rPr>
          <w:szCs w:val="24"/>
        </w:rPr>
        <w:t xml:space="preserve"> the futures contracts </w:t>
      </w:r>
      <w:r w:rsidR="00C17BB8" w:rsidRPr="00816DDD">
        <w:rPr>
          <w:szCs w:val="24"/>
        </w:rPr>
        <w:t xml:space="preserve">when the position is closed out </w:t>
      </w:r>
      <w:r w:rsidR="00EC5E41" w:rsidRPr="00816DDD">
        <w:rPr>
          <w:szCs w:val="24"/>
        </w:rPr>
        <w:t>which would cover its losses of USD 26</w:t>
      </w:r>
      <w:r w:rsidR="007C5D20" w:rsidRPr="00816DDD">
        <w:rPr>
          <w:szCs w:val="24"/>
        </w:rPr>
        <w:t>3,900</w:t>
      </w:r>
      <w:r w:rsidR="00EC5E41" w:rsidRPr="00816DDD">
        <w:rPr>
          <w:szCs w:val="24"/>
        </w:rPr>
        <w:t xml:space="preserve"> ((11.5293 – 8.8</w:t>
      </w:r>
      <w:r w:rsidR="007C5D20" w:rsidRPr="00816DDD">
        <w:rPr>
          <w:szCs w:val="24"/>
        </w:rPr>
        <w:t>903</w:t>
      </w:r>
      <w:r w:rsidR="00EC5E41" w:rsidRPr="00816DDD">
        <w:rPr>
          <w:szCs w:val="24"/>
        </w:rPr>
        <w:t xml:space="preserve">) x 5,000 x 20) from having to pay more when it buys </w:t>
      </w:r>
      <w:r w:rsidR="00DD7C1C" w:rsidRPr="00816DDD">
        <w:rPr>
          <w:szCs w:val="24"/>
        </w:rPr>
        <w:t>t</w:t>
      </w:r>
      <w:r w:rsidR="00EC5E41" w:rsidRPr="00816DDD">
        <w:rPr>
          <w:szCs w:val="24"/>
        </w:rPr>
        <w:t xml:space="preserve">he </w:t>
      </w:r>
      <w:r w:rsidR="00EB5763" w:rsidRPr="00816DDD">
        <w:rPr>
          <w:szCs w:val="24"/>
        </w:rPr>
        <w:t xml:space="preserve">milling </w:t>
      </w:r>
      <w:r w:rsidR="00EC5E41" w:rsidRPr="00816DDD">
        <w:rPr>
          <w:szCs w:val="24"/>
        </w:rPr>
        <w:t>wheat</w:t>
      </w:r>
      <w:r w:rsidR="00C17BB8" w:rsidRPr="00816DDD">
        <w:rPr>
          <w:szCs w:val="24"/>
        </w:rPr>
        <w:t xml:space="preserve"> </w:t>
      </w:r>
      <w:r w:rsidR="00465D32" w:rsidRPr="00816DDD">
        <w:rPr>
          <w:szCs w:val="24"/>
        </w:rPr>
        <w:t xml:space="preserve">at a higher spot price </w:t>
      </w:r>
      <w:r w:rsidR="00C17BB8" w:rsidRPr="00816DDD">
        <w:rPr>
          <w:szCs w:val="24"/>
        </w:rPr>
        <w:t>in the cash marke</w:t>
      </w:r>
      <w:r w:rsidR="00E954A0" w:rsidRPr="00816DDD">
        <w:rPr>
          <w:szCs w:val="24"/>
        </w:rPr>
        <w:t>t.</w:t>
      </w:r>
    </w:p>
    <w:p w14:paraId="1D162E19" w14:textId="77777777" w:rsidR="00585C9B" w:rsidRPr="00816DDD" w:rsidRDefault="00585C9B" w:rsidP="001A5CB6">
      <w:pPr>
        <w:spacing w:after="0" w:line="240" w:lineRule="auto"/>
        <w:rPr>
          <w:szCs w:val="24"/>
        </w:rPr>
      </w:pPr>
    </w:p>
    <w:p w14:paraId="153ED439" w14:textId="59FAF3D6" w:rsidR="00965AA7" w:rsidRPr="00816DDD" w:rsidRDefault="00827623" w:rsidP="001A5CB6">
      <w:pPr>
        <w:spacing w:after="0" w:line="240" w:lineRule="auto"/>
        <w:rPr>
          <w:szCs w:val="24"/>
        </w:rPr>
      </w:pPr>
      <w:r w:rsidRPr="00816DDD">
        <w:rPr>
          <w:szCs w:val="24"/>
        </w:rPr>
        <w:t xml:space="preserve">These </w:t>
      </w:r>
      <w:r w:rsidR="00EB5763" w:rsidRPr="00816DDD">
        <w:rPr>
          <w:szCs w:val="24"/>
        </w:rPr>
        <w:t xml:space="preserve">two examples of </w:t>
      </w:r>
      <w:r w:rsidRPr="00816DDD">
        <w:rPr>
          <w:szCs w:val="24"/>
        </w:rPr>
        <w:t xml:space="preserve">short and long hedges </w:t>
      </w:r>
      <w:r w:rsidR="00EB5763" w:rsidRPr="00816DDD">
        <w:rPr>
          <w:szCs w:val="24"/>
        </w:rPr>
        <w:t xml:space="preserve">perfectly compensated the hedger </w:t>
      </w:r>
      <w:r w:rsidRPr="00816DDD">
        <w:rPr>
          <w:szCs w:val="24"/>
        </w:rPr>
        <w:t>because a futures contract was available for the</w:t>
      </w:r>
      <w:r w:rsidR="00D801D1" w:rsidRPr="00816DDD">
        <w:rPr>
          <w:szCs w:val="24"/>
        </w:rPr>
        <w:t xml:space="preserve"> exact </w:t>
      </w:r>
      <w:r w:rsidRPr="00816DDD">
        <w:rPr>
          <w:szCs w:val="24"/>
        </w:rPr>
        <w:t>commodity</w:t>
      </w:r>
      <w:r w:rsidR="00D6791D" w:rsidRPr="00816DDD">
        <w:rPr>
          <w:szCs w:val="24"/>
        </w:rPr>
        <w:t xml:space="preserve"> </w:t>
      </w:r>
      <w:r w:rsidR="005D3EAE" w:rsidRPr="00816DDD">
        <w:rPr>
          <w:szCs w:val="24"/>
        </w:rPr>
        <w:t>in</w:t>
      </w:r>
      <w:r w:rsidR="00D801D1" w:rsidRPr="00816DDD">
        <w:rPr>
          <w:szCs w:val="24"/>
        </w:rPr>
        <w:t xml:space="preserve"> the appropriate grade</w:t>
      </w:r>
      <w:r w:rsidRPr="00816DDD">
        <w:rPr>
          <w:szCs w:val="24"/>
        </w:rPr>
        <w:t xml:space="preserve">.  </w:t>
      </w:r>
      <w:r w:rsidR="00D6791D" w:rsidRPr="00816DDD">
        <w:rPr>
          <w:szCs w:val="24"/>
        </w:rPr>
        <w:t xml:space="preserve">What if </w:t>
      </w:r>
      <w:r w:rsidR="00D801D1" w:rsidRPr="00816DDD">
        <w:rPr>
          <w:szCs w:val="24"/>
        </w:rPr>
        <w:t xml:space="preserve">the right </w:t>
      </w:r>
      <w:r w:rsidR="00D6791D" w:rsidRPr="00816DDD">
        <w:rPr>
          <w:szCs w:val="24"/>
        </w:rPr>
        <w:t xml:space="preserve">contract was not available?  For example, jet fuel is the second biggest cost </w:t>
      </w:r>
      <w:r w:rsidR="003E6E98">
        <w:rPr>
          <w:szCs w:val="24"/>
        </w:rPr>
        <w:t>for</w:t>
      </w:r>
      <w:r w:rsidR="00D6791D" w:rsidRPr="00816DDD">
        <w:rPr>
          <w:szCs w:val="24"/>
        </w:rPr>
        <w:t xml:space="preserve"> an airline after the cost of buying or leasing planes.  If the airline wanted to hedge jet fuel prices, it could not do</w:t>
      </w:r>
      <w:r w:rsidR="00A57A9B" w:rsidRPr="00816DDD">
        <w:rPr>
          <w:szCs w:val="24"/>
        </w:rPr>
        <w:t xml:space="preserve"> so </w:t>
      </w:r>
      <w:r w:rsidR="00D6791D" w:rsidRPr="00816DDD">
        <w:rPr>
          <w:szCs w:val="24"/>
        </w:rPr>
        <w:t>perfectly</w:t>
      </w:r>
      <w:r w:rsidR="00D235B9">
        <w:rPr>
          <w:szCs w:val="24"/>
        </w:rPr>
        <w:t>,</w:t>
      </w:r>
      <w:r w:rsidR="00D6791D" w:rsidRPr="00816DDD">
        <w:rPr>
          <w:szCs w:val="24"/>
        </w:rPr>
        <w:t xml:space="preserve"> as no jet fuel contract </w:t>
      </w:r>
      <w:r w:rsidR="00A57A9B" w:rsidRPr="00816DDD">
        <w:rPr>
          <w:szCs w:val="24"/>
        </w:rPr>
        <w:t>exists</w:t>
      </w:r>
      <w:r w:rsidR="00D6791D" w:rsidRPr="00816DDD">
        <w:rPr>
          <w:szCs w:val="24"/>
        </w:rPr>
        <w:t xml:space="preserve">.  </w:t>
      </w:r>
      <w:r w:rsidR="00A57A9B" w:rsidRPr="00816DDD">
        <w:rPr>
          <w:szCs w:val="24"/>
        </w:rPr>
        <w:t xml:space="preserve">An alternative would be to </w:t>
      </w:r>
      <w:r w:rsidR="005D3EAE" w:rsidRPr="00816DDD">
        <w:rPr>
          <w:szCs w:val="24"/>
        </w:rPr>
        <w:t xml:space="preserve">use </w:t>
      </w:r>
      <w:r w:rsidR="004949A8" w:rsidRPr="008F7037">
        <w:rPr>
          <w:szCs w:val="24"/>
        </w:rPr>
        <w:t>cross-hedg</w:t>
      </w:r>
      <w:r w:rsidR="005D3EAE" w:rsidRPr="008F7037">
        <w:rPr>
          <w:szCs w:val="24"/>
        </w:rPr>
        <w:t>ing</w:t>
      </w:r>
      <w:r w:rsidR="00D235B9">
        <w:rPr>
          <w:szCs w:val="24"/>
        </w:rPr>
        <w:t>,</w:t>
      </w:r>
      <w:r w:rsidR="004949A8" w:rsidRPr="00816DDD">
        <w:rPr>
          <w:szCs w:val="24"/>
        </w:rPr>
        <w:t xml:space="preserve"> </w:t>
      </w:r>
      <w:r w:rsidR="005843A4" w:rsidRPr="00816DDD">
        <w:rPr>
          <w:szCs w:val="24"/>
        </w:rPr>
        <w:t xml:space="preserve">where </w:t>
      </w:r>
      <w:r w:rsidR="00A57A9B" w:rsidRPr="00816DDD">
        <w:rPr>
          <w:szCs w:val="24"/>
        </w:rPr>
        <w:t>a futures contract for a similar commodity</w:t>
      </w:r>
      <w:r w:rsidR="00D235B9">
        <w:rPr>
          <w:szCs w:val="24"/>
        </w:rPr>
        <w:t>,</w:t>
      </w:r>
      <w:r w:rsidR="00367740" w:rsidRPr="00816DDD">
        <w:rPr>
          <w:szCs w:val="24"/>
        </w:rPr>
        <w:t xml:space="preserve"> </w:t>
      </w:r>
      <w:r w:rsidR="00A57A9B" w:rsidRPr="00816DDD">
        <w:rPr>
          <w:szCs w:val="24"/>
        </w:rPr>
        <w:t>like heating oil</w:t>
      </w:r>
      <w:r w:rsidR="00D235B9">
        <w:rPr>
          <w:szCs w:val="24"/>
        </w:rPr>
        <w:t>,</w:t>
      </w:r>
      <w:r w:rsidR="00A57A9B" w:rsidRPr="00816DDD">
        <w:rPr>
          <w:szCs w:val="24"/>
        </w:rPr>
        <w:t xml:space="preserve"> </w:t>
      </w:r>
      <w:r w:rsidR="005843A4" w:rsidRPr="00816DDD">
        <w:rPr>
          <w:szCs w:val="24"/>
        </w:rPr>
        <w:t xml:space="preserve">is </w:t>
      </w:r>
      <w:r w:rsidR="00D801D1" w:rsidRPr="00816DDD">
        <w:rPr>
          <w:szCs w:val="24"/>
        </w:rPr>
        <w:t>substituted</w:t>
      </w:r>
      <w:r w:rsidR="005843A4" w:rsidRPr="00816DDD">
        <w:rPr>
          <w:szCs w:val="24"/>
        </w:rPr>
        <w:t>.  Jet fuel and heating oil prices</w:t>
      </w:r>
      <w:r w:rsidR="00A57A9B" w:rsidRPr="00816DDD">
        <w:rPr>
          <w:szCs w:val="24"/>
        </w:rPr>
        <w:t xml:space="preserve"> </w:t>
      </w:r>
      <w:r w:rsidR="005843A4" w:rsidRPr="00816DDD">
        <w:rPr>
          <w:szCs w:val="24"/>
        </w:rPr>
        <w:t xml:space="preserve">are </w:t>
      </w:r>
      <w:r w:rsidR="004920C4" w:rsidRPr="00816DDD">
        <w:rPr>
          <w:szCs w:val="24"/>
        </w:rPr>
        <w:t>highly</w:t>
      </w:r>
      <w:r w:rsidR="00A57A9B" w:rsidRPr="00816DDD">
        <w:rPr>
          <w:szCs w:val="24"/>
        </w:rPr>
        <w:t xml:space="preserve"> </w:t>
      </w:r>
      <w:r w:rsidR="00D235B9">
        <w:rPr>
          <w:szCs w:val="24"/>
        </w:rPr>
        <w:t xml:space="preserve">correlated </w:t>
      </w:r>
      <w:r w:rsidR="005843A4" w:rsidRPr="00816DDD">
        <w:rPr>
          <w:szCs w:val="24"/>
        </w:rPr>
        <w:t xml:space="preserve">but not perfectly correlated, so the hedge </w:t>
      </w:r>
      <w:r w:rsidR="004920C4" w:rsidRPr="00816DDD">
        <w:rPr>
          <w:szCs w:val="24"/>
        </w:rPr>
        <w:t xml:space="preserve">is not </w:t>
      </w:r>
      <w:r w:rsidR="00EB5763" w:rsidRPr="00816DDD">
        <w:rPr>
          <w:szCs w:val="24"/>
        </w:rPr>
        <w:t>perfect</w:t>
      </w:r>
      <w:r w:rsidR="004920C4" w:rsidRPr="00816DDD">
        <w:rPr>
          <w:szCs w:val="24"/>
        </w:rPr>
        <w:t>.  The airline w</w:t>
      </w:r>
      <w:r w:rsidR="007E4E19" w:rsidRPr="00816DDD">
        <w:rPr>
          <w:szCs w:val="24"/>
        </w:rPr>
        <w:t>ould</w:t>
      </w:r>
      <w:r w:rsidR="004920C4" w:rsidRPr="00816DDD">
        <w:rPr>
          <w:szCs w:val="24"/>
        </w:rPr>
        <w:t xml:space="preserve"> continue to be exposed to some </w:t>
      </w:r>
      <w:r w:rsidR="006B277F" w:rsidRPr="00816DDD">
        <w:rPr>
          <w:szCs w:val="24"/>
        </w:rPr>
        <w:t xml:space="preserve">risk from fluctuating prices called </w:t>
      </w:r>
      <w:r w:rsidR="006B277F" w:rsidRPr="008F7037">
        <w:rPr>
          <w:szCs w:val="24"/>
        </w:rPr>
        <w:t>basis risk.</w:t>
      </w:r>
    </w:p>
    <w:p w14:paraId="596FAD5C" w14:textId="77777777" w:rsidR="00965AA7" w:rsidRPr="00816DDD" w:rsidRDefault="00965AA7" w:rsidP="001A5CB6">
      <w:pPr>
        <w:spacing w:after="0" w:line="240" w:lineRule="auto"/>
        <w:rPr>
          <w:szCs w:val="24"/>
        </w:rPr>
      </w:pPr>
    </w:p>
    <w:p w14:paraId="3BEDA198" w14:textId="495F86FA" w:rsidR="005F495C" w:rsidRPr="00816DDD" w:rsidRDefault="005F495C" w:rsidP="0051511B">
      <w:pPr>
        <w:spacing w:after="0" w:line="240" w:lineRule="auto"/>
        <w:ind w:right="54"/>
        <w:rPr>
          <w:szCs w:val="24"/>
        </w:rPr>
      </w:pPr>
      <w:r w:rsidRPr="00816DDD">
        <w:rPr>
          <w:szCs w:val="24"/>
        </w:rPr>
        <w:lastRenderedPageBreak/>
        <w:t>The hedge ratio</w:t>
      </w:r>
      <w:r w:rsidR="001A2B59" w:rsidRPr="00816DDD">
        <w:rPr>
          <w:szCs w:val="24"/>
        </w:rPr>
        <w:t xml:space="preserve"> (h)</w:t>
      </w:r>
      <w:r w:rsidRPr="00816DDD">
        <w:rPr>
          <w:szCs w:val="24"/>
        </w:rPr>
        <w:t xml:space="preserve"> </w:t>
      </w:r>
      <w:r w:rsidR="006D254B" w:rsidRPr="00816DDD">
        <w:rPr>
          <w:szCs w:val="24"/>
        </w:rPr>
        <w:t>compares</w:t>
      </w:r>
      <w:r w:rsidRPr="00816DDD">
        <w:rPr>
          <w:szCs w:val="24"/>
        </w:rPr>
        <w:t xml:space="preserve"> the </w:t>
      </w:r>
      <w:r w:rsidR="0034246F" w:rsidRPr="00816DDD">
        <w:rPr>
          <w:szCs w:val="24"/>
        </w:rPr>
        <w:t>value</w:t>
      </w:r>
      <w:r w:rsidRPr="00816DDD">
        <w:rPr>
          <w:szCs w:val="24"/>
        </w:rPr>
        <w:t xml:space="preserve"> of </w:t>
      </w:r>
      <w:r w:rsidR="002C1433" w:rsidRPr="00816DDD">
        <w:rPr>
          <w:szCs w:val="24"/>
        </w:rPr>
        <w:t>a</w:t>
      </w:r>
      <w:r w:rsidRPr="00816DDD">
        <w:rPr>
          <w:szCs w:val="24"/>
        </w:rPr>
        <w:t xml:space="preserve"> position being hedged to the </w:t>
      </w:r>
      <w:r w:rsidR="0034246F" w:rsidRPr="00816DDD">
        <w:rPr>
          <w:szCs w:val="24"/>
        </w:rPr>
        <w:t>value</w:t>
      </w:r>
      <w:r w:rsidRPr="00816DDD">
        <w:rPr>
          <w:szCs w:val="24"/>
        </w:rPr>
        <w:t xml:space="preserve"> of the entire </w:t>
      </w:r>
      <w:r w:rsidRPr="00816DDD">
        <w:rPr>
          <w:rFonts w:hint="cs"/>
          <w:szCs w:val="24"/>
        </w:rPr>
        <w:t xml:space="preserve">position. </w:t>
      </w:r>
    </w:p>
    <w:p w14:paraId="089EEA1B" w14:textId="097DC9FC" w:rsidR="005F495C" w:rsidRPr="00816DDD" w:rsidRDefault="001A2B59" w:rsidP="001A2B59">
      <w:pPr>
        <w:spacing w:after="0" w:line="240" w:lineRule="auto"/>
        <w:jc w:val="center"/>
        <w:rPr>
          <w:sz w:val="20"/>
          <w:szCs w:val="20"/>
        </w:rPr>
      </w:pPr>
      <w:r w:rsidRPr="00816DDD">
        <w:rPr>
          <w:rFonts w:hint="cs"/>
          <w:sz w:val="20"/>
          <w:szCs w:val="20"/>
        </w:rPr>
        <w:t>h</w:t>
      </w:r>
      <w:r w:rsidR="00367740" w:rsidRPr="00816DDD">
        <w:rPr>
          <w:rFonts w:hint="cs"/>
          <w:sz w:val="20"/>
          <w:szCs w:val="20"/>
        </w:rPr>
        <w:t xml:space="preserve"> = </w:t>
      </w:r>
      <m:oMath>
        <m:f>
          <m:fPr>
            <m:ctrlPr>
              <w:rPr>
                <w:rFonts w:ascii="Cambria Math" w:hAnsi="Cambria Math" w:hint="cs"/>
                <w:sz w:val="20"/>
                <w:szCs w:val="20"/>
              </w:rPr>
            </m:ctrlPr>
          </m:fPr>
          <m:num>
            <m:r>
              <m:rPr>
                <m:sty m:val="p"/>
              </m:rPr>
              <w:rPr>
                <w:rFonts w:ascii="Cambria Math" w:hAnsi="Cambria Math" w:hint="cs"/>
                <w:sz w:val="20"/>
                <w:szCs w:val="20"/>
              </w:rPr>
              <m:t>Hedge value</m:t>
            </m:r>
          </m:num>
          <m:den>
            <m:r>
              <m:rPr>
                <m:sty m:val="p"/>
              </m:rPr>
              <w:rPr>
                <w:rFonts w:ascii="Cambria Math" w:hAnsi="Cambria Math" w:hint="cs"/>
                <w:sz w:val="20"/>
                <w:szCs w:val="20"/>
              </w:rPr>
              <m:t>Total position value</m:t>
            </m:r>
          </m:den>
        </m:f>
      </m:oMath>
    </w:p>
    <w:p w14:paraId="411270EA" w14:textId="77777777" w:rsidR="001A2B59" w:rsidRPr="00816DDD" w:rsidRDefault="001A2B59" w:rsidP="001A2B59">
      <w:pPr>
        <w:spacing w:after="0" w:line="240" w:lineRule="auto"/>
        <w:jc w:val="center"/>
        <w:rPr>
          <w:sz w:val="20"/>
          <w:szCs w:val="20"/>
        </w:rPr>
      </w:pPr>
    </w:p>
    <w:p w14:paraId="39251C87" w14:textId="31039E1E" w:rsidR="002F225B" w:rsidRPr="00816DDD" w:rsidRDefault="005F495C" w:rsidP="001A5CB6">
      <w:pPr>
        <w:spacing w:after="0" w:line="240" w:lineRule="auto"/>
        <w:rPr>
          <w:szCs w:val="24"/>
        </w:rPr>
      </w:pPr>
      <w:r w:rsidRPr="00816DDD">
        <w:rPr>
          <w:rFonts w:hint="cs"/>
          <w:szCs w:val="24"/>
        </w:rPr>
        <w:t xml:space="preserve">A hedge ratio of 1.0 means </w:t>
      </w:r>
      <w:r w:rsidR="00367740" w:rsidRPr="00816DDD">
        <w:rPr>
          <w:rFonts w:hint="cs"/>
          <w:szCs w:val="24"/>
        </w:rPr>
        <w:t xml:space="preserve">the position is fully hedged against the risk of </w:t>
      </w:r>
      <w:r w:rsidR="007A7B91" w:rsidRPr="00816DDD">
        <w:rPr>
          <w:szCs w:val="24"/>
        </w:rPr>
        <w:t>changing prices</w:t>
      </w:r>
      <w:r w:rsidR="00A721F6" w:rsidRPr="00816DDD">
        <w:rPr>
          <w:rFonts w:hint="cs"/>
          <w:szCs w:val="24"/>
        </w:rPr>
        <w:t>.</w:t>
      </w:r>
      <w:r w:rsidR="00033FEE" w:rsidRPr="00816DDD">
        <w:rPr>
          <w:rFonts w:hint="cs"/>
          <w:szCs w:val="24"/>
        </w:rPr>
        <w:t xml:space="preserve"> </w:t>
      </w:r>
      <w:r w:rsidR="00A721F6" w:rsidRPr="00816DDD">
        <w:rPr>
          <w:rFonts w:hint="cs"/>
          <w:szCs w:val="24"/>
        </w:rPr>
        <w:t>Th</w:t>
      </w:r>
      <w:r w:rsidR="00033FEE" w:rsidRPr="00816DDD">
        <w:rPr>
          <w:rFonts w:hint="cs"/>
          <w:szCs w:val="24"/>
        </w:rPr>
        <w:t xml:space="preserve">is is only true if </w:t>
      </w:r>
      <w:r w:rsidR="00A807C4" w:rsidRPr="00816DDD">
        <w:rPr>
          <w:rFonts w:hint="cs"/>
          <w:szCs w:val="24"/>
        </w:rPr>
        <w:t>the asset being hedged is the same as the underlying</w:t>
      </w:r>
      <w:r w:rsidR="00AA6B5E" w:rsidRPr="00816DDD">
        <w:rPr>
          <w:szCs w:val="24"/>
        </w:rPr>
        <w:t xml:space="preserve"> asset</w:t>
      </w:r>
      <w:r w:rsidR="00A807C4" w:rsidRPr="00816DDD">
        <w:rPr>
          <w:rFonts w:hint="cs"/>
          <w:szCs w:val="24"/>
        </w:rPr>
        <w:t xml:space="preserve"> </w:t>
      </w:r>
      <w:r w:rsidR="002F225B" w:rsidRPr="00816DDD">
        <w:rPr>
          <w:szCs w:val="24"/>
        </w:rPr>
        <w:t>in the futures contract, which means</w:t>
      </w:r>
      <w:r w:rsidR="002E3D52" w:rsidRPr="00816DDD">
        <w:rPr>
          <w:szCs w:val="24"/>
        </w:rPr>
        <w:t xml:space="preserve"> there is </w:t>
      </w:r>
      <w:r w:rsidR="00323627" w:rsidRPr="00816DDD">
        <w:rPr>
          <w:rFonts w:hint="cs"/>
          <w:szCs w:val="24"/>
        </w:rPr>
        <w:t>no basis risk</w:t>
      </w:r>
      <w:r w:rsidR="00A721F6" w:rsidRPr="00816DDD">
        <w:rPr>
          <w:rFonts w:hint="cs"/>
          <w:szCs w:val="24"/>
        </w:rPr>
        <w:t>.  If a contract for the exact commodity cannot be found</w:t>
      </w:r>
      <w:r w:rsidR="005E2A85" w:rsidRPr="00816DDD">
        <w:rPr>
          <w:szCs w:val="24"/>
        </w:rPr>
        <w:t xml:space="preserve"> and </w:t>
      </w:r>
      <w:r w:rsidR="003E6E98">
        <w:rPr>
          <w:szCs w:val="24"/>
        </w:rPr>
        <w:t>cross-hedging</w:t>
      </w:r>
      <w:r w:rsidR="00A721F6" w:rsidRPr="00816DDD">
        <w:rPr>
          <w:rFonts w:hint="cs"/>
          <w:szCs w:val="24"/>
        </w:rPr>
        <w:t xml:space="preserve"> </w:t>
      </w:r>
      <w:r w:rsidR="005E2A85" w:rsidRPr="00816DDD">
        <w:rPr>
          <w:szCs w:val="24"/>
        </w:rPr>
        <w:t xml:space="preserve">is </w:t>
      </w:r>
      <w:r w:rsidR="00A721F6" w:rsidRPr="00816DDD">
        <w:rPr>
          <w:rFonts w:hint="cs"/>
          <w:szCs w:val="24"/>
        </w:rPr>
        <w:t>used</w:t>
      </w:r>
      <w:r w:rsidR="006D254B" w:rsidRPr="00816DDD">
        <w:rPr>
          <w:szCs w:val="24"/>
        </w:rPr>
        <w:t xml:space="preserve">, </w:t>
      </w:r>
      <w:r w:rsidR="00323627" w:rsidRPr="00816DDD">
        <w:rPr>
          <w:rFonts w:hint="cs"/>
          <w:szCs w:val="24"/>
        </w:rPr>
        <w:t>the optimal hedge ratio</w:t>
      </w:r>
      <w:r w:rsidR="001A2B59" w:rsidRPr="00816DDD">
        <w:rPr>
          <w:szCs w:val="24"/>
        </w:rPr>
        <w:t xml:space="preserve"> (h*)</w:t>
      </w:r>
      <w:r w:rsidR="00AA6B5E" w:rsidRPr="00816DDD">
        <w:rPr>
          <w:szCs w:val="24"/>
        </w:rPr>
        <w:t xml:space="preserve"> is:</w:t>
      </w:r>
    </w:p>
    <w:p w14:paraId="44BF6FBE" w14:textId="77777777" w:rsidR="007A7B91" w:rsidRPr="00816DDD" w:rsidRDefault="007A7B91" w:rsidP="001A5CB6">
      <w:pPr>
        <w:spacing w:after="0" w:line="240" w:lineRule="auto"/>
        <w:rPr>
          <w:szCs w:val="24"/>
        </w:rPr>
      </w:pPr>
    </w:p>
    <w:p w14:paraId="3E4ABFD7" w14:textId="3C6FE23F" w:rsidR="00B21F14" w:rsidRPr="00816DDD" w:rsidRDefault="00F42087" w:rsidP="00F64BCE">
      <w:pPr>
        <w:spacing w:after="0" w:line="240" w:lineRule="auto"/>
        <w:jc w:val="center"/>
        <w:rPr>
          <w:rFonts w:eastAsiaTheme="minorEastAsia"/>
          <w:sz w:val="20"/>
          <w:szCs w:val="20"/>
        </w:rPr>
      </w:pPr>
      <w:bookmarkStart w:id="21" w:name="_Hlk142983509"/>
      <w:r w:rsidRPr="00816DDD">
        <w:rPr>
          <w:sz w:val="20"/>
          <w:szCs w:val="20"/>
        </w:rPr>
        <w:t>h</w:t>
      </w:r>
      <w:r w:rsidR="001A2B59" w:rsidRPr="00816DDD">
        <w:rPr>
          <w:sz w:val="20"/>
          <w:szCs w:val="20"/>
        </w:rPr>
        <w:t>*</w:t>
      </w:r>
      <w:r w:rsidR="00323627" w:rsidRPr="00816DDD">
        <w:rPr>
          <w:rFonts w:hint="cs"/>
          <w:sz w:val="20"/>
          <w:szCs w:val="20"/>
        </w:rPr>
        <w:t xml:space="preserve"> =</w:t>
      </w:r>
      <m:oMath>
        <m:r>
          <w:rPr>
            <w:rFonts w:ascii="Cambria Math" w:hAnsi="Cambria Math" w:hint="cs"/>
            <w:sz w:val="20"/>
            <w:szCs w:val="20"/>
          </w:rPr>
          <m:t>ρ</m:t>
        </m:r>
        <m:r>
          <w:rPr>
            <w:rFonts w:ascii="Cambria Math" w:hAnsi="Cambria Math"/>
            <w:sz w:val="20"/>
            <w:szCs w:val="20"/>
          </w:rPr>
          <m:t xml:space="preserve"> </m:t>
        </m:r>
        <m:r>
          <w:rPr>
            <w:rFonts w:ascii="Cambria Math" w:hAnsi="Cambria Math" w:hint="cs"/>
            <w:sz w:val="20"/>
            <w:szCs w:val="20"/>
          </w:rPr>
          <m:t xml:space="preserve">( </m:t>
        </m:r>
        <m:f>
          <m:fPr>
            <m:ctrlPr>
              <w:rPr>
                <w:rFonts w:ascii="Cambria Math" w:hAnsi="Cambria Math" w:hint="cs"/>
                <w:i/>
                <w:sz w:val="20"/>
                <w:szCs w:val="20"/>
              </w:rPr>
            </m:ctrlPr>
          </m:fPr>
          <m:num>
            <m:sSub>
              <m:sSubPr>
                <m:ctrlPr>
                  <w:rPr>
                    <w:rFonts w:ascii="Cambria Math" w:hAnsi="Cambria Math" w:hint="cs"/>
                    <w:i/>
                    <w:sz w:val="20"/>
                    <w:szCs w:val="20"/>
                  </w:rPr>
                </m:ctrlPr>
              </m:sSubPr>
              <m:e>
                <m:r>
                  <w:rPr>
                    <w:rFonts w:ascii="Cambria Math" w:hAnsi="Cambria Math" w:hint="cs"/>
                    <w:sz w:val="20"/>
                    <w:szCs w:val="20"/>
                  </w:rPr>
                  <m:t>σ</m:t>
                </m:r>
              </m:e>
              <m:sub>
                <m:r>
                  <w:rPr>
                    <w:rFonts w:ascii="Cambria Math" w:hAnsi="Cambria Math" w:hint="cs"/>
                    <w:sz w:val="20"/>
                    <w:szCs w:val="20"/>
                  </w:rPr>
                  <m:t>s</m:t>
                </m:r>
              </m:sub>
            </m:sSub>
          </m:num>
          <m:den>
            <m:sSub>
              <m:sSubPr>
                <m:ctrlPr>
                  <w:rPr>
                    <w:rFonts w:ascii="Cambria Math" w:hAnsi="Cambria Math" w:hint="cs"/>
                    <w:i/>
                    <w:sz w:val="20"/>
                    <w:szCs w:val="20"/>
                  </w:rPr>
                </m:ctrlPr>
              </m:sSubPr>
              <m:e>
                <m:r>
                  <w:rPr>
                    <w:rFonts w:ascii="Cambria Math" w:hAnsi="Cambria Math" w:hint="cs"/>
                    <w:sz w:val="20"/>
                    <w:szCs w:val="20"/>
                  </w:rPr>
                  <m:t>σ</m:t>
                </m:r>
              </m:e>
              <m:sub>
                <m:r>
                  <w:rPr>
                    <w:rFonts w:ascii="Cambria Math" w:hAnsi="Cambria Math" w:hint="cs"/>
                    <w:sz w:val="20"/>
                    <w:szCs w:val="20"/>
                  </w:rPr>
                  <m:t>f</m:t>
                </m:r>
              </m:sub>
            </m:sSub>
          </m:den>
        </m:f>
        <m:r>
          <w:rPr>
            <w:rFonts w:ascii="Cambria Math" w:hAnsi="Cambria Math" w:hint="cs"/>
            <w:sz w:val="20"/>
            <w:szCs w:val="20"/>
          </w:rPr>
          <m:t xml:space="preserve"> ) </m:t>
        </m:r>
      </m:oMath>
    </w:p>
    <w:bookmarkEnd w:id="21"/>
    <w:p w14:paraId="5DEB5487" w14:textId="77777777" w:rsidR="00106F1B" w:rsidRPr="00816DDD" w:rsidRDefault="00106F1B" w:rsidP="00F64BCE">
      <w:pPr>
        <w:spacing w:after="0" w:line="240" w:lineRule="auto"/>
        <w:jc w:val="center"/>
        <w:rPr>
          <w:sz w:val="20"/>
          <w:szCs w:val="20"/>
        </w:rPr>
      </w:pPr>
    </w:p>
    <w:p w14:paraId="15ACBA88" w14:textId="4C080DE4" w:rsidR="00F64BCE" w:rsidRPr="00816DDD" w:rsidRDefault="005E2A85" w:rsidP="00EB5763">
      <w:pPr>
        <w:spacing w:after="0" w:line="240" w:lineRule="auto"/>
        <w:ind w:left="360"/>
        <w:rPr>
          <w:rFonts w:eastAsiaTheme="minorEastAsia"/>
          <w:sz w:val="20"/>
          <w:szCs w:val="20"/>
        </w:rPr>
      </w:pPr>
      <m:oMath>
        <m:r>
          <w:rPr>
            <w:rFonts w:ascii="Cambria Math" w:hAnsi="Cambria Math" w:hint="cs"/>
            <w:sz w:val="20"/>
            <w:szCs w:val="20"/>
          </w:rPr>
          <m:t>ρ</m:t>
        </m:r>
      </m:oMath>
      <w:r w:rsidR="00F64BCE" w:rsidRPr="00816DDD">
        <w:rPr>
          <w:rFonts w:eastAsiaTheme="minorEastAsia" w:hint="cs"/>
          <w:sz w:val="20"/>
          <w:szCs w:val="20"/>
        </w:rPr>
        <w:t xml:space="preserve"> - Correlation coefficient of changes in the future and spot price</w:t>
      </w:r>
    </w:p>
    <w:p w14:paraId="6708C4C0" w14:textId="73A37985" w:rsidR="00F64BCE" w:rsidRPr="00816DDD" w:rsidRDefault="003C4EC4" w:rsidP="00EB5763">
      <w:pPr>
        <w:spacing w:after="0" w:line="240" w:lineRule="auto"/>
        <w:ind w:left="360"/>
        <w:rPr>
          <w:rFonts w:eastAsiaTheme="minorEastAsia"/>
          <w:sz w:val="20"/>
          <w:szCs w:val="20"/>
        </w:rPr>
      </w:pPr>
      <m:oMath>
        <m:sSub>
          <m:sSubPr>
            <m:ctrlPr>
              <w:rPr>
                <w:rFonts w:ascii="Cambria Math" w:hAnsi="Cambria Math" w:hint="cs"/>
                <w:i/>
                <w:sz w:val="20"/>
                <w:szCs w:val="20"/>
              </w:rPr>
            </m:ctrlPr>
          </m:sSubPr>
          <m:e>
            <m:r>
              <w:rPr>
                <w:rFonts w:ascii="Cambria Math" w:hAnsi="Cambria Math" w:hint="cs"/>
                <w:sz w:val="20"/>
                <w:szCs w:val="20"/>
              </w:rPr>
              <m:t>σ</m:t>
            </m:r>
          </m:e>
          <m:sub>
            <m:r>
              <w:rPr>
                <w:rFonts w:ascii="Cambria Math" w:hAnsi="Cambria Math" w:hint="cs"/>
                <w:sz w:val="20"/>
                <w:szCs w:val="20"/>
              </w:rPr>
              <m:t>s</m:t>
            </m:r>
          </m:sub>
        </m:sSub>
      </m:oMath>
      <w:r w:rsidR="00F64BCE" w:rsidRPr="00816DDD">
        <w:rPr>
          <w:rFonts w:eastAsiaTheme="minorEastAsia" w:hint="cs"/>
          <w:sz w:val="20"/>
          <w:szCs w:val="20"/>
        </w:rPr>
        <w:t xml:space="preserve"> - Standard deviation of </w:t>
      </w:r>
      <w:r w:rsidR="00714986" w:rsidRPr="00816DDD">
        <w:rPr>
          <w:rFonts w:eastAsiaTheme="minorEastAsia"/>
          <w:sz w:val="20"/>
          <w:szCs w:val="20"/>
        </w:rPr>
        <w:t xml:space="preserve">the </w:t>
      </w:r>
      <w:r w:rsidR="00F64BCE" w:rsidRPr="00816DDD">
        <w:rPr>
          <w:rFonts w:eastAsiaTheme="minorEastAsia" w:hint="cs"/>
          <w:sz w:val="20"/>
          <w:szCs w:val="20"/>
        </w:rPr>
        <w:t>changes in spot price</w:t>
      </w:r>
      <w:r w:rsidR="007A00BE" w:rsidRPr="00816DDD">
        <w:rPr>
          <w:rFonts w:eastAsiaTheme="minorEastAsia"/>
          <w:sz w:val="20"/>
          <w:szCs w:val="20"/>
        </w:rPr>
        <w:t xml:space="preserve"> </w:t>
      </w:r>
      <w:r w:rsidR="00F64BCE" w:rsidRPr="00816DDD">
        <w:rPr>
          <w:rFonts w:eastAsiaTheme="minorEastAsia" w:hint="cs"/>
          <w:sz w:val="20"/>
          <w:szCs w:val="20"/>
        </w:rPr>
        <w:t>(s)</w:t>
      </w:r>
    </w:p>
    <w:p w14:paraId="412AADDF" w14:textId="6083335F" w:rsidR="00F64BCE" w:rsidRPr="00816DDD" w:rsidRDefault="003C4EC4" w:rsidP="00EB5763">
      <w:pPr>
        <w:spacing w:after="0" w:line="240" w:lineRule="auto"/>
        <w:ind w:left="360"/>
        <w:rPr>
          <w:sz w:val="20"/>
          <w:szCs w:val="20"/>
        </w:rPr>
      </w:pPr>
      <m:oMath>
        <m:sSub>
          <m:sSubPr>
            <m:ctrlPr>
              <w:rPr>
                <w:rFonts w:ascii="Cambria Math" w:hAnsi="Cambria Math" w:hint="cs"/>
                <w:i/>
                <w:sz w:val="20"/>
                <w:szCs w:val="20"/>
              </w:rPr>
            </m:ctrlPr>
          </m:sSubPr>
          <m:e>
            <m:r>
              <w:rPr>
                <w:rFonts w:ascii="Cambria Math" w:hAnsi="Cambria Math" w:hint="cs"/>
                <w:sz w:val="20"/>
                <w:szCs w:val="20"/>
              </w:rPr>
              <m:t>σ</m:t>
            </m:r>
          </m:e>
          <m:sub>
            <m:r>
              <w:rPr>
                <w:rFonts w:ascii="Cambria Math" w:hAnsi="Cambria Math" w:hint="cs"/>
                <w:sz w:val="20"/>
                <w:szCs w:val="20"/>
              </w:rPr>
              <m:t>f</m:t>
            </m:r>
          </m:sub>
        </m:sSub>
        <m:r>
          <w:rPr>
            <w:rFonts w:ascii="Cambria Math" w:hAnsi="Cambria Math" w:hint="cs"/>
            <w:sz w:val="20"/>
            <w:szCs w:val="20"/>
          </w:rPr>
          <m:t>-</m:t>
        </m:r>
        <m:r>
          <w:rPr>
            <w:rFonts w:ascii="Cambria Math" w:hAnsi="Cambria Math" w:hint="cs"/>
            <w:sz w:val="20"/>
            <w:szCs w:val="20"/>
          </w:rPr>
          <m:t xml:space="preserve"> </m:t>
        </m:r>
      </m:oMath>
      <w:r w:rsidR="00F64BCE" w:rsidRPr="00816DDD">
        <w:rPr>
          <w:rFonts w:eastAsiaTheme="minorEastAsia" w:hint="cs"/>
          <w:sz w:val="20"/>
          <w:szCs w:val="20"/>
        </w:rPr>
        <w:t xml:space="preserve">Standard deviation of </w:t>
      </w:r>
      <w:r w:rsidR="00714986" w:rsidRPr="00816DDD">
        <w:rPr>
          <w:rFonts w:eastAsiaTheme="minorEastAsia"/>
          <w:sz w:val="20"/>
          <w:szCs w:val="20"/>
        </w:rPr>
        <w:t xml:space="preserve">the </w:t>
      </w:r>
      <w:r w:rsidR="00F64BCE" w:rsidRPr="00816DDD">
        <w:rPr>
          <w:rFonts w:eastAsiaTheme="minorEastAsia" w:hint="cs"/>
          <w:sz w:val="20"/>
          <w:szCs w:val="20"/>
        </w:rPr>
        <w:t>changes in futures price (f)</w:t>
      </w:r>
    </w:p>
    <w:p w14:paraId="4164F522" w14:textId="77777777" w:rsidR="00B21F14" w:rsidRPr="00816DDD" w:rsidRDefault="00B21F14" w:rsidP="001A5CB6">
      <w:pPr>
        <w:spacing w:after="0" w:line="240" w:lineRule="auto"/>
        <w:rPr>
          <w:sz w:val="20"/>
          <w:szCs w:val="20"/>
        </w:rPr>
      </w:pPr>
    </w:p>
    <w:p w14:paraId="3E5E099F" w14:textId="07D827BD" w:rsidR="00EB354E" w:rsidRPr="00816DDD" w:rsidRDefault="0006166F" w:rsidP="001A5CB6">
      <w:pPr>
        <w:spacing w:after="0" w:line="240" w:lineRule="auto"/>
        <w:rPr>
          <w:rFonts w:eastAsiaTheme="minorEastAsia"/>
          <w:szCs w:val="24"/>
        </w:rPr>
      </w:pPr>
      <w:r w:rsidRPr="00816DDD">
        <w:rPr>
          <w:szCs w:val="24"/>
        </w:rPr>
        <w:t xml:space="preserve">The optimal hedge </w:t>
      </w:r>
      <w:r w:rsidR="00AA6B5E" w:rsidRPr="00816DDD">
        <w:rPr>
          <w:szCs w:val="24"/>
        </w:rPr>
        <w:t>rati</w:t>
      </w:r>
      <w:r w:rsidR="002013E6" w:rsidRPr="00816DDD">
        <w:rPr>
          <w:szCs w:val="24"/>
        </w:rPr>
        <w:t>o, also know</w:t>
      </w:r>
      <w:r w:rsidR="00C4093C" w:rsidRPr="00816DDD">
        <w:rPr>
          <w:szCs w:val="24"/>
        </w:rPr>
        <w:t>n</w:t>
      </w:r>
      <w:r w:rsidR="002013E6" w:rsidRPr="00816DDD">
        <w:rPr>
          <w:szCs w:val="24"/>
        </w:rPr>
        <w:t xml:space="preserve"> as the minimum-variance hedge ratio,</w:t>
      </w:r>
      <w:r w:rsidR="00AA6B5E" w:rsidRPr="00816DDD">
        <w:rPr>
          <w:szCs w:val="24"/>
        </w:rPr>
        <w:t xml:space="preserve"> </w:t>
      </w:r>
      <w:r w:rsidR="000B32F8" w:rsidRPr="00816DDD">
        <w:rPr>
          <w:szCs w:val="24"/>
        </w:rPr>
        <w:t>determines</w:t>
      </w:r>
      <w:r w:rsidR="007A00BE" w:rsidRPr="00816DDD">
        <w:rPr>
          <w:szCs w:val="24"/>
        </w:rPr>
        <w:t xml:space="preserve"> whe</w:t>
      </w:r>
      <w:r w:rsidR="000E2516" w:rsidRPr="00816DDD">
        <w:rPr>
          <w:szCs w:val="24"/>
        </w:rPr>
        <w:t>n</w:t>
      </w:r>
      <w:r w:rsidR="000B32F8" w:rsidRPr="00816DDD">
        <w:rPr>
          <w:szCs w:val="24"/>
        </w:rPr>
        <w:t xml:space="preserve"> </w:t>
      </w:r>
      <w:r w:rsidR="005A3DA5" w:rsidRPr="00816DDD">
        <w:rPr>
          <w:szCs w:val="24"/>
        </w:rPr>
        <w:t xml:space="preserve">the </w:t>
      </w:r>
      <w:bookmarkStart w:id="22" w:name="_Hlk142982742"/>
      <w:r w:rsidR="005A3DA5" w:rsidRPr="00816DDD">
        <w:rPr>
          <w:szCs w:val="24"/>
        </w:rPr>
        <w:t>var</w:t>
      </w:r>
      <w:r w:rsidR="00AA6B5E" w:rsidRPr="00816DDD">
        <w:rPr>
          <w:szCs w:val="24"/>
        </w:rPr>
        <w:t>iability</w:t>
      </w:r>
      <w:r w:rsidR="005A3DA5" w:rsidRPr="00816DDD">
        <w:rPr>
          <w:szCs w:val="24"/>
        </w:rPr>
        <w:t xml:space="preserve"> of the </w:t>
      </w:r>
      <w:r w:rsidR="00714986" w:rsidRPr="00816DDD">
        <w:rPr>
          <w:szCs w:val="24"/>
        </w:rPr>
        <w:t xml:space="preserve">value of the </w:t>
      </w:r>
      <w:r w:rsidR="005A3DA5" w:rsidRPr="00816DDD">
        <w:rPr>
          <w:szCs w:val="24"/>
        </w:rPr>
        <w:t>hedged position</w:t>
      </w:r>
      <w:r w:rsidR="002F225B" w:rsidRPr="00816DDD">
        <w:rPr>
          <w:szCs w:val="24"/>
        </w:rPr>
        <w:t xml:space="preserve"> </w:t>
      </w:r>
      <w:bookmarkEnd w:id="22"/>
      <w:r w:rsidR="007A00BE" w:rsidRPr="00816DDD">
        <w:rPr>
          <w:szCs w:val="24"/>
        </w:rPr>
        <w:t>is minimized</w:t>
      </w:r>
      <w:r w:rsidR="006D254B" w:rsidRPr="00816DDD">
        <w:rPr>
          <w:szCs w:val="24"/>
        </w:rPr>
        <w:t>.</w:t>
      </w:r>
      <w:r w:rsidR="00714986" w:rsidRPr="00816DDD">
        <w:rPr>
          <w:szCs w:val="24"/>
        </w:rPr>
        <w:t xml:space="preserve">  </w:t>
      </w:r>
      <w:r w:rsidR="00A96496" w:rsidRPr="00816DDD">
        <w:rPr>
          <w:szCs w:val="24"/>
        </w:rPr>
        <w:t>Referring to the formula, t</w:t>
      </w:r>
      <w:r w:rsidRPr="00816DDD">
        <w:rPr>
          <w:szCs w:val="24"/>
        </w:rPr>
        <w:t>his ratio</w:t>
      </w:r>
      <w:r w:rsidR="001A2B59" w:rsidRPr="00816DDD">
        <w:rPr>
          <w:szCs w:val="24"/>
        </w:rPr>
        <w:t xml:space="preserve"> increases </w:t>
      </w:r>
      <w:r w:rsidR="00A637BC" w:rsidRPr="00816DDD">
        <w:rPr>
          <w:szCs w:val="24"/>
        </w:rPr>
        <w:t>as the price of the asset being hedged be</w:t>
      </w:r>
      <w:r w:rsidR="002E3D52" w:rsidRPr="00816DDD">
        <w:rPr>
          <w:szCs w:val="24"/>
        </w:rPr>
        <w:t>comes</w:t>
      </w:r>
      <w:r w:rsidR="00A637BC" w:rsidRPr="00816DDD">
        <w:rPr>
          <w:szCs w:val="24"/>
        </w:rPr>
        <w:t xml:space="preserve"> more variable</w:t>
      </w:r>
      <w:r w:rsidR="007A00BE" w:rsidRPr="00816DDD">
        <w:rPr>
          <w:szCs w:val="24"/>
        </w:rPr>
        <w:t xml:space="preserve"> (</w:t>
      </w:r>
      <m:oMath>
        <m:sSub>
          <m:sSubPr>
            <m:ctrlPr>
              <w:rPr>
                <w:rFonts w:ascii="Cambria Math" w:hAnsi="Cambria Math" w:hint="cs"/>
                <w:i/>
                <w:sz w:val="20"/>
                <w:szCs w:val="20"/>
              </w:rPr>
            </m:ctrlPr>
          </m:sSubPr>
          <m:e>
            <m:r>
              <w:rPr>
                <w:rFonts w:ascii="Cambria Math" w:hAnsi="Cambria Math" w:hint="cs"/>
                <w:sz w:val="20"/>
                <w:szCs w:val="20"/>
              </w:rPr>
              <m:t>σ</m:t>
            </m:r>
          </m:e>
          <m:sub>
            <m:r>
              <w:rPr>
                <w:rFonts w:ascii="Cambria Math" w:hAnsi="Cambria Math" w:hint="cs"/>
                <w:sz w:val="20"/>
                <w:szCs w:val="20"/>
              </w:rPr>
              <m:t>s</m:t>
            </m:r>
          </m:sub>
        </m:sSub>
        <m:r>
          <w:rPr>
            <w:rFonts w:ascii="Cambria Math" w:hAnsi="Cambria Math"/>
            <w:sz w:val="20"/>
            <w:szCs w:val="20"/>
          </w:rPr>
          <m:t>)</m:t>
        </m:r>
      </m:oMath>
      <w:r w:rsidR="00D235B9">
        <w:rPr>
          <w:szCs w:val="24"/>
        </w:rPr>
        <w:t xml:space="preserve"> </w:t>
      </w:r>
      <w:r w:rsidR="00F52987">
        <w:rPr>
          <w:szCs w:val="24"/>
        </w:rPr>
        <w:t>to</w:t>
      </w:r>
      <w:r w:rsidR="002E3D52" w:rsidRPr="00816DDD">
        <w:rPr>
          <w:szCs w:val="24"/>
        </w:rPr>
        <w:t xml:space="preserve"> the underlying asset</w:t>
      </w:r>
      <w:r w:rsidR="007A00BE" w:rsidRPr="00816DDD">
        <w:rPr>
          <w:szCs w:val="24"/>
        </w:rPr>
        <w:t xml:space="preserve"> (</w:t>
      </w:r>
      <m:oMath>
        <m:sSub>
          <m:sSubPr>
            <m:ctrlPr>
              <w:rPr>
                <w:rFonts w:ascii="Cambria Math" w:hAnsi="Cambria Math" w:hint="cs"/>
                <w:i/>
                <w:sz w:val="20"/>
                <w:szCs w:val="20"/>
              </w:rPr>
            </m:ctrlPr>
          </m:sSubPr>
          <m:e>
            <m:r>
              <w:rPr>
                <w:rFonts w:ascii="Cambria Math" w:hAnsi="Cambria Math" w:hint="cs"/>
                <w:sz w:val="20"/>
                <w:szCs w:val="20"/>
              </w:rPr>
              <m:t>σ</m:t>
            </m:r>
          </m:e>
          <m:sub>
            <m:r>
              <w:rPr>
                <w:rFonts w:ascii="Cambria Math" w:hAnsi="Cambria Math" w:hint="cs"/>
                <w:sz w:val="20"/>
                <w:szCs w:val="20"/>
              </w:rPr>
              <m:t>f</m:t>
            </m:r>
          </m:sub>
        </m:sSub>
        <m:r>
          <w:rPr>
            <w:rFonts w:ascii="Cambria Math" w:hAnsi="Cambria Math"/>
            <w:sz w:val="20"/>
            <w:szCs w:val="20"/>
          </w:rPr>
          <m:t xml:space="preserve">) </m:t>
        </m:r>
      </m:oMath>
      <w:r w:rsidR="007A00BE" w:rsidRPr="00816DDD">
        <w:rPr>
          <w:szCs w:val="24"/>
        </w:rPr>
        <w:t>and</w:t>
      </w:r>
      <w:r w:rsidR="002F225B" w:rsidRPr="00816DDD">
        <w:rPr>
          <w:szCs w:val="24"/>
        </w:rPr>
        <w:t xml:space="preserve"> the correlation </w:t>
      </w:r>
      <w:r w:rsidR="000B32F8" w:rsidRPr="00816DDD">
        <w:rPr>
          <w:szCs w:val="24"/>
        </w:rPr>
        <w:t xml:space="preserve">coefficient </w:t>
      </w:r>
      <w:r w:rsidR="002F225B" w:rsidRPr="00816DDD">
        <w:rPr>
          <w:szCs w:val="24"/>
        </w:rPr>
        <w:t>between t</w:t>
      </w:r>
      <w:r w:rsidR="001A2B59" w:rsidRPr="00816DDD">
        <w:rPr>
          <w:szCs w:val="24"/>
        </w:rPr>
        <w:t>he</w:t>
      </w:r>
      <w:r w:rsidR="002F225B" w:rsidRPr="00816DDD">
        <w:rPr>
          <w:szCs w:val="24"/>
        </w:rPr>
        <w:t xml:space="preserve"> two assets</w:t>
      </w:r>
      <w:r w:rsidR="007A00BE" w:rsidRPr="00816DDD">
        <w:rPr>
          <w:szCs w:val="24"/>
        </w:rPr>
        <w:t xml:space="preserve"> (</w:t>
      </w:r>
      <w:bookmarkStart w:id="23" w:name="_Hlk142395538"/>
      <m:oMath>
        <m:r>
          <w:rPr>
            <w:rFonts w:ascii="Cambria Math" w:hAnsi="Cambria Math" w:hint="cs"/>
            <w:sz w:val="20"/>
            <w:szCs w:val="20"/>
          </w:rPr>
          <m:t>ρ</m:t>
        </m:r>
      </m:oMath>
      <w:bookmarkEnd w:id="23"/>
      <w:r w:rsidR="007A00BE" w:rsidRPr="00816DDD">
        <w:rPr>
          <w:szCs w:val="24"/>
        </w:rPr>
        <w:t>) i</w:t>
      </w:r>
      <w:r w:rsidR="002F225B" w:rsidRPr="00816DDD">
        <w:rPr>
          <w:szCs w:val="24"/>
        </w:rPr>
        <w:t>ncreases</w:t>
      </w:r>
      <w:r w:rsidR="00D235B9">
        <w:rPr>
          <w:szCs w:val="24"/>
        </w:rPr>
        <w:t xml:space="preserve">.  This </w:t>
      </w:r>
      <w:r w:rsidR="002F225B" w:rsidRPr="00816DDD">
        <w:rPr>
          <w:szCs w:val="24"/>
        </w:rPr>
        <w:t>mean</w:t>
      </w:r>
      <w:r w:rsidR="00D235B9">
        <w:rPr>
          <w:szCs w:val="24"/>
        </w:rPr>
        <w:t>s</w:t>
      </w:r>
      <w:r w:rsidR="002F225B" w:rsidRPr="00816DDD">
        <w:rPr>
          <w:szCs w:val="24"/>
        </w:rPr>
        <w:t xml:space="preserve"> price changes</w:t>
      </w:r>
      <w:r w:rsidRPr="00816DDD">
        <w:rPr>
          <w:szCs w:val="24"/>
        </w:rPr>
        <w:t xml:space="preserve"> </w:t>
      </w:r>
      <w:r w:rsidR="007A00BE" w:rsidRPr="00816DDD">
        <w:rPr>
          <w:szCs w:val="24"/>
        </w:rPr>
        <w:t xml:space="preserve">are more likely to </w:t>
      </w:r>
      <w:r w:rsidR="002F225B" w:rsidRPr="00816DDD">
        <w:rPr>
          <w:szCs w:val="24"/>
        </w:rPr>
        <w:t xml:space="preserve">occur at the same time and </w:t>
      </w:r>
      <w:r w:rsidR="001A2B59" w:rsidRPr="00816DDD">
        <w:rPr>
          <w:szCs w:val="24"/>
        </w:rPr>
        <w:t xml:space="preserve">less likely to </w:t>
      </w:r>
      <w:r w:rsidR="002F225B" w:rsidRPr="00816DDD">
        <w:rPr>
          <w:szCs w:val="24"/>
        </w:rPr>
        <w:t>cancel each other out.</w:t>
      </w:r>
      <w:r w:rsidRPr="00816DDD">
        <w:rPr>
          <w:szCs w:val="24"/>
        </w:rPr>
        <w:t xml:space="preserve">  </w:t>
      </w:r>
      <w:r w:rsidR="002E3D52" w:rsidRPr="00816DDD">
        <w:rPr>
          <w:rFonts w:eastAsiaTheme="minorEastAsia"/>
          <w:szCs w:val="24"/>
        </w:rPr>
        <w:t>The optimal number of contacts</w:t>
      </w:r>
      <w:r w:rsidR="002F225B" w:rsidRPr="00816DDD">
        <w:rPr>
          <w:rFonts w:eastAsiaTheme="minorEastAsia"/>
          <w:szCs w:val="24"/>
        </w:rPr>
        <w:t xml:space="preserve"> </w:t>
      </w:r>
      <w:r w:rsidR="001A2B59" w:rsidRPr="00816DDD">
        <w:rPr>
          <w:rFonts w:eastAsiaTheme="minorEastAsia"/>
          <w:szCs w:val="24"/>
        </w:rPr>
        <w:t>(</w:t>
      </w:r>
      <w:r w:rsidR="00F42087" w:rsidRPr="00816DDD">
        <w:rPr>
          <w:rFonts w:eastAsiaTheme="minorEastAsia"/>
          <w:szCs w:val="24"/>
        </w:rPr>
        <w:t>n</w:t>
      </w:r>
      <w:r w:rsidR="001A2B59" w:rsidRPr="00816DDD">
        <w:rPr>
          <w:rFonts w:eastAsiaTheme="minorEastAsia"/>
          <w:szCs w:val="24"/>
        </w:rPr>
        <w:t xml:space="preserve">) </w:t>
      </w:r>
      <w:r w:rsidR="002F225B" w:rsidRPr="00816DDD">
        <w:rPr>
          <w:rFonts w:eastAsiaTheme="minorEastAsia"/>
          <w:szCs w:val="24"/>
        </w:rPr>
        <w:t>that should be purchased to hedge a position</w:t>
      </w:r>
      <w:r w:rsidR="002E3D52" w:rsidRPr="00816DDD">
        <w:rPr>
          <w:rFonts w:eastAsiaTheme="minorEastAsia"/>
          <w:szCs w:val="24"/>
        </w:rPr>
        <w:t xml:space="preserve"> is:</w:t>
      </w:r>
    </w:p>
    <w:p w14:paraId="01403458" w14:textId="77777777" w:rsidR="002E3D52" w:rsidRPr="00816DDD" w:rsidRDefault="002E3D52" w:rsidP="002E3D52">
      <w:pPr>
        <w:spacing w:after="0" w:line="240" w:lineRule="auto"/>
        <w:jc w:val="center"/>
        <w:rPr>
          <w:rFonts w:eastAsiaTheme="minorEastAsia"/>
          <w:sz w:val="20"/>
          <w:szCs w:val="20"/>
        </w:rPr>
      </w:pPr>
    </w:p>
    <w:p w14:paraId="76B9CC77" w14:textId="2816B62E" w:rsidR="002E3D52" w:rsidRPr="00816DDD" w:rsidRDefault="001A2B59" w:rsidP="002E3D52">
      <w:pPr>
        <w:spacing w:after="0" w:line="240" w:lineRule="auto"/>
        <w:jc w:val="center"/>
        <w:rPr>
          <w:sz w:val="20"/>
          <w:szCs w:val="20"/>
        </w:rPr>
      </w:pPr>
      <w:r w:rsidRPr="00816DDD">
        <w:rPr>
          <w:rFonts w:eastAsiaTheme="minorEastAsia"/>
          <w:sz w:val="20"/>
          <w:szCs w:val="20"/>
        </w:rPr>
        <w:t>n</w:t>
      </w:r>
      <w:r w:rsidR="002E3D52" w:rsidRPr="00816DDD">
        <w:rPr>
          <w:rFonts w:eastAsiaTheme="minorEastAsia" w:hint="cs"/>
          <w:sz w:val="20"/>
          <w:szCs w:val="20"/>
        </w:rPr>
        <w:t xml:space="preserve"> = </w:t>
      </w:r>
      <w:r w:rsidRPr="00816DDD">
        <w:rPr>
          <w:rFonts w:eastAsiaTheme="minorEastAsia"/>
          <w:sz w:val="20"/>
          <w:szCs w:val="20"/>
        </w:rPr>
        <w:t>h</w:t>
      </w:r>
      <w:r w:rsidR="00106F1B" w:rsidRPr="00816DDD">
        <w:rPr>
          <w:rFonts w:eastAsiaTheme="minorEastAsia"/>
          <w:sz w:val="20"/>
          <w:szCs w:val="20"/>
        </w:rPr>
        <w:t>*</w:t>
      </w:r>
      <w:r w:rsidR="002E3D52" w:rsidRPr="00816DDD">
        <w:rPr>
          <w:rFonts w:eastAsiaTheme="minorEastAsia" w:hint="cs"/>
          <w:sz w:val="20"/>
          <w:szCs w:val="20"/>
        </w:rPr>
        <w:t xml:space="preserve"> (</w:t>
      </w:r>
      <m:oMath>
        <m:f>
          <m:fPr>
            <m:ctrlPr>
              <w:rPr>
                <w:rFonts w:ascii="Cambria Math" w:eastAsiaTheme="minorEastAsia" w:hAnsi="Cambria Math" w:hint="cs"/>
                <w:iCs/>
                <w:sz w:val="20"/>
                <w:szCs w:val="20"/>
              </w:rPr>
            </m:ctrlPr>
          </m:fPr>
          <m:num>
            <m:r>
              <m:rPr>
                <m:sty m:val="p"/>
              </m:rPr>
              <w:rPr>
                <w:rFonts w:ascii="Cambria Math" w:eastAsiaTheme="minorEastAsia" w:hAnsi="Cambria Math" w:hint="cs"/>
                <w:sz w:val="20"/>
                <w:szCs w:val="20"/>
              </w:rPr>
              <m:t>Size of position being hedged</m:t>
            </m:r>
          </m:num>
          <m:den>
            <m:r>
              <m:rPr>
                <m:sty m:val="p"/>
              </m:rPr>
              <w:rPr>
                <w:rFonts w:ascii="Cambria Math" w:eastAsiaTheme="minorEastAsia" w:hAnsi="Cambria Math" w:hint="cs"/>
                <w:sz w:val="20"/>
                <w:szCs w:val="20"/>
              </w:rPr>
              <m:t>Size of contract</m:t>
            </m:r>
          </m:den>
        </m:f>
      </m:oMath>
      <w:r w:rsidR="002E3D52" w:rsidRPr="00816DDD">
        <w:rPr>
          <w:rFonts w:eastAsiaTheme="minorEastAsia" w:hint="cs"/>
          <w:sz w:val="20"/>
          <w:szCs w:val="20"/>
        </w:rPr>
        <w:t>)</w:t>
      </w:r>
    </w:p>
    <w:p w14:paraId="21EA1BEA" w14:textId="131B942F" w:rsidR="005E2A85" w:rsidRPr="00816DDD" w:rsidRDefault="005E2A85" w:rsidP="001A5CB6">
      <w:pPr>
        <w:spacing w:after="0" w:line="240" w:lineRule="auto"/>
        <w:rPr>
          <w:szCs w:val="24"/>
        </w:rPr>
      </w:pPr>
    </w:p>
    <w:p w14:paraId="182C8A79" w14:textId="2113B7B8" w:rsidR="00F42087" w:rsidRPr="00816DDD" w:rsidRDefault="007A00BE" w:rsidP="001A5CB6">
      <w:pPr>
        <w:spacing w:after="0" w:line="240" w:lineRule="auto"/>
        <w:rPr>
          <w:szCs w:val="24"/>
        </w:rPr>
      </w:pPr>
      <w:r w:rsidRPr="00816DDD">
        <w:rPr>
          <w:szCs w:val="24"/>
        </w:rPr>
        <w:t xml:space="preserve">As the </w:t>
      </w:r>
      <w:r w:rsidR="003E6E98">
        <w:rPr>
          <w:szCs w:val="24"/>
        </w:rPr>
        <w:t xml:space="preserve">size of the </w:t>
      </w:r>
      <w:r w:rsidRPr="00816DDD">
        <w:rPr>
          <w:szCs w:val="24"/>
        </w:rPr>
        <w:t>optimal hedge ratio increases</w:t>
      </w:r>
      <w:r w:rsidR="001F645A">
        <w:rPr>
          <w:szCs w:val="24"/>
        </w:rPr>
        <w:t>,</w:t>
      </w:r>
      <w:r w:rsidRPr="00816DDD">
        <w:rPr>
          <w:szCs w:val="24"/>
        </w:rPr>
        <w:t xml:space="preserve"> so does the number of contracts </w:t>
      </w:r>
      <w:r w:rsidR="009B5F23" w:rsidRPr="00816DDD">
        <w:rPr>
          <w:szCs w:val="24"/>
        </w:rPr>
        <w:t>needed</w:t>
      </w:r>
      <w:r w:rsidR="003B2CD3" w:rsidRPr="00816DDD">
        <w:rPr>
          <w:szCs w:val="24"/>
        </w:rPr>
        <w:t xml:space="preserve"> to hedge the position.</w:t>
      </w:r>
    </w:p>
    <w:p w14:paraId="6E1177B1" w14:textId="77777777" w:rsidR="00416E4E" w:rsidRPr="00816DDD" w:rsidRDefault="00416E4E" w:rsidP="00416E4E">
      <w:pPr>
        <w:spacing w:after="0" w:line="240" w:lineRule="auto"/>
        <w:rPr>
          <w:b/>
          <w:bCs/>
          <w:szCs w:val="24"/>
        </w:rPr>
      </w:pPr>
    </w:p>
    <w:p w14:paraId="16FBD09A" w14:textId="557E6C66" w:rsidR="00416E4E" w:rsidRPr="00816DDD" w:rsidRDefault="00416E4E" w:rsidP="00416E4E">
      <w:pPr>
        <w:spacing w:after="0" w:line="240" w:lineRule="auto"/>
        <w:rPr>
          <w:b/>
          <w:bCs/>
          <w:szCs w:val="24"/>
        </w:rPr>
      </w:pPr>
      <w:r w:rsidRPr="00816DDD">
        <w:rPr>
          <w:b/>
          <w:bCs/>
          <w:szCs w:val="24"/>
        </w:rPr>
        <w:t>Hedging Using Options Contracts</w:t>
      </w:r>
    </w:p>
    <w:p w14:paraId="5B22767F" w14:textId="77777777" w:rsidR="00F42087" w:rsidRPr="00816DDD" w:rsidRDefault="00F42087" w:rsidP="001A5CB6">
      <w:pPr>
        <w:spacing w:after="0" w:line="240" w:lineRule="auto"/>
        <w:rPr>
          <w:b/>
          <w:bCs/>
          <w:szCs w:val="24"/>
        </w:rPr>
      </w:pPr>
    </w:p>
    <w:p w14:paraId="3B7F638C" w14:textId="492AE707" w:rsidR="008B5EFF" w:rsidRPr="00816DDD" w:rsidRDefault="00273C19" w:rsidP="00C94E81">
      <w:pPr>
        <w:spacing w:after="0" w:line="240" w:lineRule="auto"/>
        <w:rPr>
          <w:b/>
          <w:bCs/>
          <w:szCs w:val="24"/>
          <w:shd w:val="clear" w:color="auto" w:fill="FFFFFF"/>
        </w:rPr>
      </w:pPr>
      <w:r w:rsidRPr="00816DDD">
        <w:rPr>
          <w:szCs w:val="24"/>
          <w:shd w:val="clear" w:color="auto" w:fill="FFFFFF"/>
        </w:rPr>
        <w:t>O</w:t>
      </w:r>
      <w:r w:rsidR="0072189A" w:rsidRPr="00816DDD">
        <w:rPr>
          <w:rFonts w:hint="cs"/>
          <w:szCs w:val="24"/>
          <w:shd w:val="clear" w:color="auto" w:fill="FFFFFF"/>
        </w:rPr>
        <w:t>ptions give the</w:t>
      </w:r>
      <w:r w:rsidR="00FA672D" w:rsidRPr="00816DDD">
        <w:rPr>
          <w:szCs w:val="24"/>
          <w:shd w:val="clear" w:color="auto" w:fill="FFFFFF"/>
        </w:rPr>
        <w:t xml:space="preserve"> </w:t>
      </w:r>
      <w:r w:rsidR="00203184" w:rsidRPr="00816DDD">
        <w:rPr>
          <w:szCs w:val="24"/>
          <w:shd w:val="clear" w:color="auto" w:fill="FFFFFF"/>
        </w:rPr>
        <w:t>holder</w:t>
      </w:r>
      <w:r w:rsidR="0072189A" w:rsidRPr="00816DDD">
        <w:rPr>
          <w:rFonts w:hint="cs"/>
          <w:szCs w:val="24"/>
          <w:shd w:val="clear" w:color="auto" w:fill="FFFFFF"/>
        </w:rPr>
        <w:t xml:space="preserve"> the right, but not the obligation, to buy or sell an</w:t>
      </w:r>
      <w:r w:rsidR="00A84B02" w:rsidRPr="00816DDD">
        <w:rPr>
          <w:szCs w:val="24"/>
          <w:shd w:val="clear" w:color="auto" w:fill="FFFFFF"/>
        </w:rPr>
        <w:t xml:space="preserve"> </w:t>
      </w:r>
      <w:r w:rsidR="00561271" w:rsidRPr="00816DDD">
        <w:rPr>
          <w:szCs w:val="24"/>
          <w:shd w:val="clear" w:color="auto" w:fill="FFFFFF"/>
        </w:rPr>
        <w:t>asset at a</w:t>
      </w:r>
      <w:r w:rsidR="00203184" w:rsidRPr="00816DDD">
        <w:rPr>
          <w:szCs w:val="24"/>
          <w:shd w:val="clear" w:color="auto" w:fill="FFFFFF"/>
        </w:rPr>
        <w:t xml:space="preserve">n </w:t>
      </w:r>
      <w:r w:rsidR="008F7037">
        <w:rPr>
          <w:szCs w:val="24"/>
          <w:shd w:val="clear" w:color="auto" w:fill="FFFFFF"/>
        </w:rPr>
        <w:t>agreed-upon</w:t>
      </w:r>
      <w:r w:rsidR="00561271" w:rsidRPr="00816DDD">
        <w:rPr>
          <w:szCs w:val="24"/>
          <w:shd w:val="clear" w:color="auto" w:fill="FFFFFF"/>
        </w:rPr>
        <w:t xml:space="preserve"> </w:t>
      </w:r>
      <w:r w:rsidR="00251A5A" w:rsidRPr="00816DDD">
        <w:rPr>
          <w:szCs w:val="24"/>
          <w:shd w:val="clear" w:color="auto" w:fill="FFFFFF"/>
        </w:rPr>
        <w:t xml:space="preserve">exercise price or </w:t>
      </w:r>
      <w:r w:rsidR="0072189A" w:rsidRPr="00816DDD">
        <w:rPr>
          <w:rFonts w:hint="cs"/>
          <w:szCs w:val="24"/>
          <w:shd w:val="clear" w:color="auto" w:fill="FFFFFF"/>
        </w:rPr>
        <w:t>strike price</w:t>
      </w:r>
      <w:r w:rsidR="00203184" w:rsidRPr="00816DDD">
        <w:rPr>
          <w:szCs w:val="24"/>
          <w:shd w:val="clear" w:color="auto" w:fill="FFFFFF"/>
        </w:rPr>
        <w:t xml:space="preserve"> </w:t>
      </w:r>
      <w:r w:rsidR="0072189A" w:rsidRPr="00816DDD">
        <w:rPr>
          <w:rFonts w:hint="cs"/>
          <w:szCs w:val="24"/>
          <w:shd w:val="clear" w:color="auto" w:fill="FFFFFF"/>
        </w:rPr>
        <w:t>on or before the expiry date.</w:t>
      </w:r>
      <w:r w:rsidR="009076E8" w:rsidRPr="00816DDD">
        <w:rPr>
          <w:szCs w:val="24"/>
          <w:shd w:val="clear" w:color="auto" w:fill="FFFFFF"/>
        </w:rPr>
        <w:t xml:space="preserve">  If a company plans to buy a commodity in the future and is concerned about rising prices, it can hedge its position by purchasing a call option that allows i</w:t>
      </w:r>
      <w:r w:rsidR="00ED4242" w:rsidRPr="00816DDD">
        <w:rPr>
          <w:szCs w:val="24"/>
          <w:shd w:val="clear" w:color="auto" w:fill="FFFFFF"/>
        </w:rPr>
        <w:t>t</w:t>
      </w:r>
      <w:r w:rsidR="009076E8" w:rsidRPr="00816DDD">
        <w:rPr>
          <w:szCs w:val="24"/>
          <w:shd w:val="clear" w:color="auto" w:fill="FFFFFF"/>
        </w:rPr>
        <w:t xml:space="preserve"> to buy the commodity</w:t>
      </w:r>
      <w:r w:rsidR="00FA672D" w:rsidRPr="00816DDD">
        <w:rPr>
          <w:szCs w:val="24"/>
          <w:shd w:val="clear" w:color="auto" w:fill="FFFFFF"/>
        </w:rPr>
        <w:t xml:space="preserve"> in the future </w:t>
      </w:r>
      <w:r w:rsidR="009076E8" w:rsidRPr="00816DDD">
        <w:rPr>
          <w:szCs w:val="24"/>
          <w:shd w:val="clear" w:color="auto" w:fill="FFFFFF"/>
        </w:rPr>
        <w:t xml:space="preserve">at </w:t>
      </w:r>
      <w:r w:rsidR="00BC788A" w:rsidRPr="00816DDD">
        <w:rPr>
          <w:szCs w:val="24"/>
          <w:shd w:val="clear" w:color="auto" w:fill="FFFFFF"/>
        </w:rPr>
        <w:t>a</w:t>
      </w:r>
      <w:r w:rsidR="00203184" w:rsidRPr="00816DDD">
        <w:rPr>
          <w:szCs w:val="24"/>
          <w:shd w:val="clear" w:color="auto" w:fill="FFFFFF"/>
        </w:rPr>
        <w:t xml:space="preserve"> strike </w:t>
      </w:r>
      <w:r w:rsidR="00251A5A" w:rsidRPr="00816DDD">
        <w:rPr>
          <w:szCs w:val="24"/>
          <w:shd w:val="clear" w:color="auto" w:fill="FFFFFF"/>
        </w:rPr>
        <w:t xml:space="preserve">price </w:t>
      </w:r>
      <w:r w:rsidR="009076E8" w:rsidRPr="00816DDD">
        <w:rPr>
          <w:szCs w:val="24"/>
          <w:shd w:val="clear" w:color="auto" w:fill="FFFFFF"/>
        </w:rPr>
        <w:t xml:space="preserve">agreed on today.  If a company plans to sell a commodity in the future </w:t>
      </w:r>
      <w:r w:rsidR="00ED4242" w:rsidRPr="00816DDD">
        <w:rPr>
          <w:szCs w:val="24"/>
          <w:shd w:val="clear" w:color="auto" w:fill="FFFFFF"/>
        </w:rPr>
        <w:t>and is concerned about falling prices, it can hedge its position by purchasing a put option that allows it to sell the commodity</w:t>
      </w:r>
      <w:r w:rsidR="00FA672D" w:rsidRPr="00816DDD">
        <w:rPr>
          <w:szCs w:val="24"/>
          <w:shd w:val="clear" w:color="auto" w:fill="FFFFFF"/>
        </w:rPr>
        <w:t xml:space="preserve"> in the future</w:t>
      </w:r>
      <w:r w:rsidR="00ED4242" w:rsidRPr="00816DDD">
        <w:rPr>
          <w:szCs w:val="24"/>
          <w:shd w:val="clear" w:color="auto" w:fill="FFFFFF"/>
        </w:rPr>
        <w:t xml:space="preserve"> at </w:t>
      </w:r>
      <w:r w:rsidR="00BC788A" w:rsidRPr="00816DDD">
        <w:rPr>
          <w:szCs w:val="24"/>
          <w:shd w:val="clear" w:color="auto" w:fill="FFFFFF"/>
        </w:rPr>
        <w:t>a</w:t>
      </w:r>
      <w:r w:rsidR="00203184" w:rsidRPr="00816DDD">
        <w:rPr>
          <w:szCs w:val="24"/>
          <w:shd w:val="clear" w:color="auto" w:fill="FFFFFF"/>
        </w:rPr>
        <w:t xml:space="preserve"> strike price agreed </w:t>
      </w:r>
      <w:r w:rsidR="00ED4242" w:rsidRPr="00816DDD">
        <w:rPr>
          <w:szCs w:val="24"/>
          <w:shd w:val="clear" w:color="auto" w:fill="FFFFFF"/>
        </w:rPr>
        <w:t xml:space="preserve">on today.  </w:t>
      </w:r>
      <w:r w:rsidR="00C83AB8" w:rsidRPr="00816DDD">
        <w:rPr>
          <w:szCs w:val="24"/>
          <w:shd w:val="clear" w:color="auto" w:fill="FFFFFF"/>
        </w:rPr>
        <w:t xml:space="preserve">An American option can be </w:t>
      </w:r>
      <w:r w:rsidR="008F7037">
        <w:rPr>
          <w:szCs w:val="24"/>
          <w:shd w:val="clear" w:color="auto" w:fill="FFFFFF"/>
        </w:rPr>
        <w:t>exercised</w:t>
      </w:r>
      <w:r w:rsidR="00C83AB8" w:rsidRPr="00816DDD">
        <w:rPr>
          <w:szCs w:val="24"/>
          <w:shd w:val="clear" w:color="auto" w:fill="FFFFFF"/>
        </w:rPr>
        <w:t xml:space="preserve"> </w:t>
      </w:r>
      <w:r w:rsidR="00D235B9">
        <w:rPr>
          <w:szCs w:val="24"/>
          <w:shd w:val="clear" w:color="auto" w:fill="FFFFFF"/>
        </w:rPr>
        <w:t xml:space="preserve">at </w:t>
      </w:r>
      <w:r w:rsidR="00C83AB8" w:rsidRPr="00816DDD">
        <w:rPr>
          <w:szCs w:val="24"/>
          <w:shd w:val="clear" w:color="auto" w:fill="FFFFFF"/>
        </w:rPr>
        <w:t>any</w:t>
      </w:r>
      <w:r w:rsidR="004627AB">
        <w:rPr>
          <w:szCs w:val="24"/>
          <w:shd w:val="clear" w:color="auto" w:fill="FFFFFF"/>
        </w:rPr>
        <w:t xml:space="preserve"> </w:t>
      </w:r>
      <w:r w:rsidR="00C83AB8" w:rsidRPr="00816DDD">
        <w:rPr>
          <w:szCs w:val="24"/>
          <w:shd w:val="clear" w:color="auto" w:fill="FFFFFF"/>
        </w:rPr>
        <w:t xml:space="preserve">time </w:t>
      </w:r>
      <w:r w:rsidR="00A33C09">
        <w:rPr>
          <w:szCs w:val="24"/>
          <w:shd w:val="clear" w:color="auto" w:fill="FFFFFF"/>
        </w:rPr>
        <w:t>before</w:t>
      </w:r>
      <w:r w:rsidR="00C83AB8" w:rsidRPr="00816DDD">
        <w:rPr>
          <w:szCs w:val="24"/>
          <w:shd w:val="clear" w:color="auto" w:fill="FFFFFF"/>
        </w:rPr>
        <w:t xml:space="preserve"> the expiration date, while a European option</w:t>
      </w:r>
      <w:r w:rsidR="004619BA" w:rsidRPr="00816DDD">
        <w:rPr>
          <w:szCs w:val="24"/>
          <w:shd w:val="clear" w:color="auto" w:fill="FFFFFF"/>
        </w:rPr>
        <w:t xml:space="preserve"> can</w:t>
      </w:r>
      <w:r w:rsidR="00C83AB8" w:rsidRPr="00816DDD">
        <w:rPr>
          <w:szCs w:val="24"/>
          <w:shd w:val="clear" w:color="auto" w:fill="FFFFFF"/>
        </w:rPr>
        <w:t xml:space="preserve"> only be exercised on the expiration date.</w:t>
      </w:r>
      <w:r w:rsidR="00C94E81" w:rsidRPr="00816DDD">
        <w:rPr>
          <w:szCs w:val="24"/>
          <w:shd w:val="clear" w:color="auto" w:fill="FFFFFF"/>
        </w:rPr>
        <w:t xml:space="preserve">  </w:t>
      </w:r>
    </w:p>
    <w:p w14:paraId="3924BAB2" w14:textId="77777777" w:rsidR="001207A4" w:rsidRPr="00816DDD" w:rsidRDefault="001207A4" w:rsidP="001A5CB6">
      <w:pPr>
        <w:spacing w:after="0" w:line="240" w:lineRule="auto"/>
        <w:rPr>
          <w:szCs w:val="24"/>
          <w:shd w:val="clear" w:color="auto" w:fill="FFFFFF"/>
        </w:rPr>
      </w:pPr>
    </w:p>
    <w:p w14:paraId="372058CD" w14:textId="2E483147" w:rsidR="007950D6" w:rsidRPr="00816DDD" w:rsidRDefault="00ED4242" w:rsidP="00B55885">
      <w:pPr>
        <w:spacing w:after="0" w:line="240" w:lineRule="auto"/>
        <w:rPr>
          <w:szCs w:val="24"/>
          <w:shd w:val="clear" w:color="auto" w:fill="FFFFFF"/>
        </w:rPr>
      </w:pPr>
      <w:r w:rsidRPr="00816DDD">
        <w:rPr>
          <w:szCs w:val="24"/>
          <w:shd w:val="clear" w:color="auto" w:fill="FFFFFF"/>
        </w:rPr>
        <w:t>Futures and options are alternative ways to hedge against unfavourable price changes.</w:t>
      </w:r>
    </w:p>
    <w:p w14:paraId="1F313062" w14:textId="77777777" w:rsidR="00B55885" w:rsidRPr="00816DDD" w:rsidRDefault="00B55885" w:rsidP="00B55885">
      <w:pPr>
        <w:spacing w:after="0" w:line="240" w:lineRule="auto"/>
        <w:rPr>
          <w:szCs w:val="24"/>
          <w:shd w:val="clear" w:color="auto" w:fill="FFFFFF"/>
        </w:rPr>
      </w:pPr>
    </w:p>
    <w:p w14:paraId="698BF05F" w14:textId="4EECD81D" w:rsidR="00ED4242" w:rsidRPr="00816DDD" w:rsidRDefault="00ED4242" w:rsidP="00ED4242">
      <w:pPr>
        <w:spacing w:after="0" w:line="240" w:lineRule="auto"/>
        <w:jc w:val="center"/>
        <w:rPr>
          <w:b/>
          <w:bCs/>
          <w:sz w:val="20"/>
          <w:szCs w:val="20"/>
          <w:shd w:val="clear" w:color="auto" w:fill="FFFFFF"/>
        </w:rPr>
      </w:pPr>
      <w:r w:rsidRPr="00816DDD">
        <w:rPr>
          <w:b/>
          <w:bCs/>
          <w:sz w:val="20"/>
          <w:szCs w:val="20"/>
          <w:shd w:val="clear" w:color="auto" w:fill="FFFFFF"/>
        </w:rPr>
        <w:t>Exhibit 18:  Futures Versus Options</w:t>
      </w:r>
    </w:p>
    <w:p w14:paraId="78996E4A" w14:textId="77777777" w:rsidR="006A7E8E" w:rsidRPr="00816DDD" w:rsidRDefault="006A7E8E" w:rsidP="00ED4242">
      <w:pPr>
        <w:spacing w:after="0" w:line="240" w:lineRule="auto"/>
        <w:jc w:val="center"/>
        <w:rPr>
          <w:b/>
          <w:bCs/>
          <w:sz w:val="20"/>
          <w:szCs w:val="20"/>
        </w:rPr>
      </w:pPr>
    </w:p>
    <w:tbl>
      <w:tblPr>
        <w:tblStyle w:val="TableGrid"/>
        <w:tblW w:w="0" w:type="auto"/>
        <w:tblInd w:w="1885" w:type="dxa"/>
        <w:tblLook w:val="04A0" w:firstRow="1" w:lastRow="0" w:firstColumn="1" w:lastColumn="0" w:noHBand="0" w:noVBand="1"/>
      </w:tblPr>
      <w:tblGrid>
        <w:gridCol w:w="2335"/>
        <w:gridCol w:w="2250"/>
        <w:gridCol w:w="2250"/>
      </w:tblGrid>
      <w:tr w:rsidR="00816DDD" w:rsidRPr="00816DDD" w14:paraId="10ACFDD8" w14:textId="77777777" w:rsidTr="006A7E8E">
        <w:tc>
          <w:tcPr>
            <w:tcW w:w="2335" w:type="dxa"/>
          </w:tcPr>
          <w:p w14:paraId="4E53DBCC" w14:textId="77777777" w:rsidR="006A7E8E" w:rsidRPr="00816DDD" w:rsidRDefault="006A7E8E" w:rsidP="001A5CB6">
            <w:pPr>
              <w:rPr>
                <w:b/>
                <w:bCs/>
                <w:sz w:val="20"/>
                <w:szCs w:val="20"/>
              </w:rPr>
            </w:pPr>
          </w:p>
        </w:tc>
        <w:tc>
          <w:tcPr>
            <w:tcW w:w="2250" w:type="dxa"/>
          </w:tcPr>
          <w:p w14:paraId="0223F8C8" w14:textId="7A2F9425" w:rsidR="006A7E8E" w:rsidRPr="00816DDD" w:rsidRDefault="006A7E8E" w:rsidP="006A7E8E">
            <w:pPr>
              <w:jc w:val="center"/>
              <w:rPr>
                <w:b/>
                <w:bCs/>
                <w:sz w:val="20"/>
                <w:szCs w:val="20"/>
              </w:rPr>
            </w:pPr>
            <w:r w:rsidRPr="00816DDD">
              <w:rPr>
                <w:b/>
                <w:bCs/>
                <w:sz w:val="20"/>
                <w:szCs w:val="20"/>
              </w:rPr>
              <w:t>Futures</w:t>
            </w:r>
          </w:p>
        </w:tc>
        <w:tc>
          <w:tcPr>
            <w:tcW w:w="2250" w:type="dxa"/>
          </w:tcPr>
          <w:p w14:paraId="390BB1B3" w14:textId="3C23BDA1" w:rsidR="006A7E8E" w:rsidRPr="00816DDD" w:rsidRDefault="006A7E8E" w:rsidP="006A7E8E">
            <w:pPr>
              <w:jc w:val="center"/>
              <w:rPr>
                <w:b/>
                <w:bCs/>
                <w:sz w:val="20"/>
                <w:szCs w:val="20"/>
              </w:rPr>
            </w:pPr>
            <w:r w:rsidRPr="00816DDD">
              <w:rPr>
                <w:b/>
                <w:bCs/>
                <w:sz w:val="20"/>
                <w:szCs w:val="20"/>
              </w:rPr>
              <w:t>Options</w:t>
            </w:r>
          </w:p>
        </w:tc>
      </w:tr>
      <w:tr w:rsidR="00816DDD" w:rsidRPr="00816DDD" w14:paraId="24A563C0" w14:textId="77777777" w:rsidTr="008F1174">
        <w:tc>
          <w:tcPr>
            <w:tcW w:w="2335" w:type="dxa"/>
            <w:vAlign w:val="center"/>
          </w:tcPr>
          <w:p w14:paraId="11934059" w14:textId="77777777" w:rsidR="006A7E8E" w:rsidRPr="00816DDD" w:rsidRDefault="006A7E8E" w:rsidP="001A5CB6">
            <w:pPr>
              <w:rPr>
                <w:sz w:val="20"/>
                <w:szCs w:val="20"/>
              </w:rPr>
            </w:pPr>
            <w:r w:rsidRPr="00816DDD">
              <w:rPr>
                <w:sz w:val="20"/>
                <w:szCs w:val="20"/>
              </w:rPr>
              <w:t>Buying the commodity</w:t>
            </w:r>
          </w:p>
          <w:p w14:paraId="5792FB78" w14:textId="72BB63BE" w:rsidR="006A7E8E" w:rsidRPr="00816DDD" w:rsidRDefault="006A7E8E" w:rsidP="001A5CB6">
            <w:pPr>
              <w:rPr>
                <w:sz w:val="20"/>
                <w:szCs w:val="20"/>
              </w:rPr>
            </w:pPr>
            <w:r w:rsidRPr="00816DDD">
              <w:rPr>
                <w:sz w:val="20"/>
                <w:szCs w:val="20"/>
              </w:rPr>
              <w:t>Expect a price increase</w:t>
            </w:r>
          </w:p>
        </w:tc>
        <w:tc>
          <w:tcPr>
            <w:tcW w:w="2250" w:type="dxa"/>
            <w:vAlign w:val="center"/>
          </w:tcPr>
          <w:p w14:paraId="3CC606AE" w14:textId="5444680C" w:rsidR="006A7E8E" w:rsidRPr="00816DDD" w:rsidRDefault="006A7E8E" w:rsidP="006A7E8E">
            <w:pPr>
              <w:jc w:val="center"/>
              <w:rPr>
                <w:sz w:val="20"/>
                <w:szCs w:val="20"/>
              </w:rPr>
            </w:pPr>
            <w:r w:rsidRPr="00816DDD">
              <w:rPr>
                <w:sz w:val="20"/>
                <w:szCs w:val="20"/>
              </w:rPr>
              <w:t>Long futures contract</w:t>
            </w:r>
          </w:p>
        </w:tc>
        <w:tc>
          <w:tcPr>
            <w:tcW w:w="2250" w:type="dxa"/>
            <w:vAlign w:val="center"/>
          </w:tcPr>
          <w:p w14:paraId="13FB241F" w14:textId="3CD76C22" w:rsidR="006A7E8E" w:rsidRPr="00816DDD" w:rsidRDefault="006A7E8E" w:rsidP="006A7E8E">
            <w:pPr>
              <w:jc w:val="center"/>
              <w:rPr>
                <w:sz w:val="20"/>
                <w:szCs w:val="20"/>
              </w:rPr>
            </w:pPr>
            <w:r w:rsidRPr="00816DDD">
              <w:rPr>
                <w:sz w:val="20"/>
                <w:szCs w:val="20"/>
              </w:rPr>
              <w:t>Purchase a call option</w:t>
            </w:r>
          </w:p>
        </w:tc>
      </w:tr>
      <w:tr w:rsidR="00816DDD" w:rsidRPr="00816DDD" w14:paraId="2CE00B97" w14:textId="77777777" w:rsidTr="008F1174">
        <w:tc>
          <w:tcPr>
            <w:tcW w:w="2335" w:type="dxa"/>
            <w:vAlign w:val="center"/>
          </w:tcPr>
          <w:p w14:paraId="0D4AB446" w14:textId="77777777" w:rsidR="006A7E8E" w:rsidRPr="00816DDD" w:rsidRDefault="006A7E8E" w:rsidP="001A5CB6">
            <w:pPr>
              <w:rPr>
                <w:sz w:val="20"/>
                <w:szCs w:val="20"/>
              </w:rPr>
            </w:pPr>
            <w:r w:rsidRPr="00816DDD">
              <w:rPr>
                <w:sz w:val="20"/>
                <w:szCs w:val="20"/>
              </w:rPr>
              <w:t>Selling the commodity</w:t>
            </w:r>
          </w:p>
          <w:p w14:paraId="77F06FD9" w14:textId="2A13A6A5" w:rsidR="006A7E8E" w:rsidRPr="00816DDD" w:rsidRDefault="006A7E8E" w:rsidP="001A5CB6">
            <w:pPr>
              <w:rPr>
                <w:sz w:val="20"/>
                <w:szCs w:val="20"/>
              </w:rPr>
            </w:pPr>
            <w:r w:rsidRPr="00816DDD">
              <w:rPr>
                <w:sz w:val="20"/>
                <w:szCs w:val="20"/>
              </w:rPr>
              <w:t>Expect a price decrease</w:t>
            </w:r>
          </w:p>
        </w:tc>
        <w:tc>
          <w:tcPr>
            <w:tcW w:w="2250" w:type="dxa"/>
            <w:vAlign w:val="center"/>
          </w:tcPr>
          <w:p w14:paraId="5DFFD363" w14:textId="1CE36C3B" w:rsidR="006A7E8E" w:rsidRPr="00816DDD" w:rsidRDefault="006A7E8E" w:rsidP="006A7E8E">
            <w:pPr>
              <w:jc w:val="center"/>
              <w:rPr>
                <w:sz w:val="20"/>
                <w:szCs w:val="20"/>
              </w:rPr>
            </w:pPr>
            <w:r w:rsidRPr="00816DDD">
              <w:rPr>
                <w:sz w:val="20"/>
                <w:szCs w:val="20"/>
              </w:rPr>
              <w:t>Short futures contract</w:t>
            </w:r>
          </w:p>
        </w:tc>
        <w:tc>
          <w:tcPr>
            <w:tcW w:w="2250" w:type="dxa"/>
            <w:vAlign w:val="center"/>
          </w:tcPr>
          <w:p w14:paraId="3A5D6B09" w14:textId="4F56691C" w:rsidR="006A7E8E" w:rsidRPr="00816DDD" w:rsidRDefault="006A7E8E" w:rsidP="006A7E8E">
            <w:pPr>
              <w:jc w:val="center"/>
              <w:rPr>
                <w:sz w:val="20"/>
                <w:szCs w:val="20"/>
              </w:rPr>
            </w:pPr>
            <w:r w:rsidRPr="00816DDD">
              <w:rPr>
                <w:sz w:val="20"/>
                <w:szCs w:val="20"/>
              </w:rPr>
              <w:t>Purchase a put option</w:t>
            </w:r>
          </w:p>
        </w:tc>
      </w:tr>
    </w:tbl>
    <w:p w14:paraId="6DD34F82" w14:textId="77777777" w:rsidR="007950D6" w:rsidRPr="00816DDD" w:rsidRDefault="007950D6" w:rsidP="001A5CB6">
      <w:pPr>
        <w:spacing w:after="0" w:line="240" w:lineRule="auto"/>
        <w:rPr>
          <w:b/>
          <w:bCs/>
          <w:szCs w:val="24"/>
        </w:rPr>
      </w:pPr>
    </w:p>
    <w:p w14:paraId="6848D1DE" w14:textId="279C49A7" w:rsidR="00CD57BD" w:rsidRPr="00816DDD" w:rsidRDefault="001207A4" w:rsidP="00A23BCC">
      <w:pPr>
        <w:spacing w:after="0" w:line="240" w:lineRule="auto"/>
        <w:rPr>
          <w:szCs w:val="24"/>
        </w:rPr>
      </w:pPr>
      <w:r w:rsidRPr="00816DDD">
        <w:rPr>
          <w:szCs w:val="24"/>
        </w:rPr>
        <w:t xml:space="preserve">The difference between futures and options is </w:t>
      </w:r>
      <w:r w:rsidR="00D235B9">
        <w:rPr>
          <w:szCs w:val="24"/>
        </w:rPr>
        <w:t xml:space="preserve">that </w:t>
      </w:r>
      <w:r w:rsidRPr="00816DDD">
        <w:rPr>
          <w:szCs w:val="24"/>
        </w:rPr>
        <w:t xml:space="preserve">there is no cost to </w:t>
      </w:r>
      <w:r w:rsidR="00D377F4" w:rsidRPr="00816DDD">
        <w:rPr>
          <w:szCs w:val="24"/>
        </w:rPr>
        <w:t>enter into</w:t>
      </w:r>
      <w:r w:rsidRPr="00816DDD">
        <w:rPr>
          <w:szCs w:val="24"/>
        </w:rPr>
        <w:t xml:space="preserve"> a futures contract</w:t>
      </w:r>
      <w:r w:rsidR="00D235B9">
        <w:rPr>
          <w:szCs w:val="24"/>
        </w:rPr>
        <w:t>,</w:t>
      </w:r>
      <w:r w:rsidR="00F21786" w:rsidRPr="00816DDD">
        <w:rPr>
          <w:szCs w:val="24"/>
        </w:rPr>
        <w:t xml:space="preserve"> but there is for an options contract</w:t>
      </w:r>
      <w:r w:rsidRPr="00816DDD">
        <w:rPr>
          <w:szCs w:val="24"/>
        </w:rPr>
        <w:t xml:space="preserve">.  </w:t>
      </w:r>
      <w:r w:rsidR="00A23BCC" w:rsidRPr="00816DDD">
        <w:rPr>
          <w:szCs w:val="24"/>
        </w:rPr>
        <w:t>I</w:t>
      </w:r>
      <w:r w:rsidRPr="00816DDD">
        <w:rPr>
          <w:szCs w:val="24"/>
        </w:rPr>
        <w:t>f a company</w:t>
      </w:r>
      <w:r w:rsidR="002B0707" w:rsidRPr="00816DDD">
        <w:rPr>
          <w:szCs w:val="24"/>
        </w:rPr>
        <w:t xml:space="preserve"> plan</w:t>
      </w:r>
      <w:r w:rsidR="00273C19" w:rsidRPr="00816DDD">
        <w:rPr>
          <w:szCs w:val="24"/>
        </w:rPr>
        <w:t>s</w:t>
      </w:r>
      <w:r w:rsidR="002B0707" w:rsidRPr="00816DDD">
        <w:rPr>
          <w:szCs w:val="24"/>
        </w:rPr>
        <w:t xml:space="preserve"> to </w:t>
      </w:r>
      <w:r w:rsidRPr="00816DDD">
        <w:rPr>
          <w:szCs w:val="24"/>
        </w:rPr>
        <w:t>buy a commodity and expect</w:t>
      </w:r>
      <w:r w:rsidR="00846656" w:rsidRPr="00816DDD">
        <w:rPr>
          <w:szCs w:val="24"/>
        </w:rPr>
        <w:t>s</w:t>
      </w:r>
      <w:r w:rsidRPr="00816DDD">
        <w:rPr>
          <w:szCs w:val="24"/>
        </w:rPr>
        <w:t xml:space="preserve"> prices to rise, it </w:t>
      </w:r>
      <w:r w:rsidR="00A23BCC" w:rsidRPr="00816DDD">
        <w:rPr>
          <w:szCs w:val="24"/>
        </w:rPr>
        <w:t>c</w:t>
      </w:r>
      <w:r w:rsidRPr="00816DDD">
        <w:rPr>
          <w:szCs w:val="24"/>
        </w:rPr>
        <w:t>oul</w:t>
      </w:r>
      <w:r w:rsidR="00A23BCC" w:rsidRPr="00816DDD">
        <w:rPr>
          <w:szCs w:val="24"/>
        </w:rPr>
        <w:t>d</w:t>
      </w:r>
      <w:r w:rsidRPr="00816DDD">
        <w:rPr>
          <w:szCs w:val="24"/>
        </w:rPr>
        <w:t xml:space="preserve"> hedge its position by</w:t>
      </w:r>
      <w:r w:rsidR="00A23BCC" w:rsidRPr="00816DDD">
        <w:rPr>
          <w:szCs w:val="24"/>
        </w:rPr>
        <w:t xml:space="preserve"> going “long” in the futures market and agreeing to buy the commodity at the final settlement price.  When </w:t>
      </w:r>
      <w:r w:rsidR="002B0707" w:rsidRPr="00816DDD">
        <w:rPr>
          <w:szCs w:val="24"/>
        </w:rPr>
        <w:t xml:space="preserve">a company </w:t>
      </w:r>
      <w:r w:rsidR="00A23BCC" w:rsidRPr="00816DDD">
        <w:rPr>
          <w:szCs w:val="24"/>
        </w:rPr>
        <w:t>goes “long,” it profits on the futures contract if</w:t>
      </w:r>
      <w:r w:rsidR="004C3BD3" w:rsidRPr="00816DDD">
        <w:rPr>
          <w:szCs w:val="24"/>
        </w:rPr>
        <w:t xml:space="preserve"> the</w:t>
      </w:r>
      <w:r w:rsidR="00A23BCC" w:rsidRPr="00816DDD">
        <w:rPr>
          <w:szCs w:val="24"/>
        </w:rPr>
        <w:t xml:space="preserve"> spot price rise</w:t>
      </w:r>
      <w:r w:rsidR="004C3BD3" w:rsidRPr="00816DDD">
        <w:rPr>
          <w:szCs w:val="24"/>
        </w:rPr>
        <w:t>s</w:t>
      </w:r>
      <w:r w:rsidR="00A23BCC" w:rsidRPr="00816DDD">
        <w:rPr>
          <w:szCs w:val="24"/>
        </w:rPr>
        <w:t xml:space="preserve"> above the final settlement price, which compensates for the higher spot price</w:t>
      </w:r>
      <w:r w:rsidR="00251A5A" w:rsidRPr="00816DDD">
        <w:rPr>
          <w:szCs w:val="24"/>
        </w:rPr>
        <w:t xml:space="preserve"> </w:t>
      </w:r>
      <w:r w:rsidR="00273C19" w:rsidRPr="00816DDD">
        <w:rPr>
          <w:szCs w:val="24"/>
        </w:rPr>
        <w:t xml:space="preserve">it must pay </w:t>
      </w:r>
      <w:r w:rsidR="00A23BCC" w:rsidRPr="00816DDD">
        <w:rPr>
          <w:szCs w:val="24"/>
        </w:rPr>
        <w:t>when the commodit</w:t>
      </w:r>
      <w:r w:rsidR="004C3BD3" w:rsidRPr="00816DDD">
        <w:rPr>
          <w:szCs w:val="24"/>
        </w:rPr>
        <w:t>y</w:t>
      </w:r>
      <w:r w:rsidR="00A23BCC" w:rsidRPr="00816DDD">
        <w:rPr>
          <w:szCs w:val="24"/>
        </w:rPr>
        <w:t xml:space="preserve"> </w:t>
      </w:r>
      <w:r w:rsidR="004C3BD3" w:rsidRPr="00816DDD">
        <w:rPr>
          <w:szCs w:val="24"/>
        </w:rPr>
        <w:t>is</w:t>
      </w:r>
      <w:r w:rsidR="00A23BCC" w:rsidRPr="00816DDD">
        <w:rPr>
          <w:szCs w:val="24"/>
        </w:rPr>
        <w:t xml:space="preserve"> </w:t>
      </w:r>
      <w:r w:rsidR="004619BA" w:rsidRPr="00816DDD">
        <w:rPr>
          <w:szCs w:val="24"/>
        </w:rPr>
        <w:t xml:space="preserve">later </w:t>
      </w:r>
      <w:r w:rsidR="00A23BCC" w:rsidRPr="00816DDD">
        <w:rPr>
          <w:szCs w:val="24"/>
        </w:rPr>
        <w:t xml:space="preserve">purchased </w:t>
      </w:r>
      <w:r w:rsidR="004619BA" w:rsidRPr="00816DDD">
        <w:rPr>
          <w:szCs w:val="24"/>
        </w:rPr>
        <w:t>o</w:t>
      </w:r>
      <w:r w:rsidR="00A23BCC" w:rsidRPr="00816DDD">
        <w:rPr>
          <w:szCs w:val="24"/>
        </w:rPr>
        <w:t xml:space="preserve">n the cash market.  But what if </w:t>
      </w:r>
      <w:r w:rsidR="004C3BD3" w:rsidRPr="00816DDD">
        <w:rPr>
          <w:szCs w:val="24"/>
        </w:rPr>
        <w:t xml:space="preserve">the </w:t>
      </w:r>
      <w:r w:rsidR="00A23BCC" w:rsidRPr="00816DDD">
        <w:rPr>
          <w:szCs w:val="24"/>
        </w:rPr>
        <w:t>price unexpectedly f</w:t>
      </w:r>
      <w:r w:rsidR="004619BA" w:rsidRPr="00816DDD">
        <w:rPr>
          <w:szCs w:val="24"/>
        </w:rPr>
        <w:t>a</w:t>
      </w:r>
      <w:r w:rsidR="00A23BCC" w:rsidRPr="00816DDD">
        <w:rPr>
          <w:szCs w:val="24"/>
        </w:rPr>
        <w:t>ll</w:t>
      </w:r>
      <w:r w:rsidR="004C3BD3" w:rsidRPr="00816DDD">
        <w:rPr>
          <w:szCs w:val="24"/>
        </w:rPr>
        <w:t>s</w:t>
      </w:r>
      <w:r w:rsidR="00A23BCC" w:rsidRPr="00816DDD">
        <w:rPr>
          <w:szCs w:val="24"/>
        </w:rPr>
        <w:t xml:space="preserve"> below the final settlement price?  The company would experience a loss on the futures contract</w:t>
      </w:r>
      <w:r w:rsidR="00CD57BD" w:rsidRPr="00816DDD">
        <w:rPr>
          <w:szCs w:val="24"/>
        </w:rPr>
        <w:t xml:space="preserve">, but this </w:t>
      </w:r>
      <w:r w:rsidR="00273C19" w:rsidRPr="00816DDD">
        <w:rPr>
          <w:szCs w:val="24"/>
        </w:rPr>
        <w:t xml:space="preserve">is </w:t>
      </w:r>
      <w:r w:rsidR="00CD57BD" w:rsidRPr="00816DDD">
        <w:rPr>
          <w:szCs w:val="24"/>
        </w:rPr>
        <w:t xml:space="preserve">compensated for by </w:t>
      </w:r>
      <w:r w:rsidR="00273C19" w:rsidRPr="00816DDD">
        <w:rPr>
          <w:szCs w:val="24"/>
        </w:rPr>
        <w:t>the</w:t>
      </w:r>
      <w:r w:rsidR="004C3BD3" w:rsidRPr="00816DDD">
        <w:rPr>
          <w:szCs w:val="24"/>
        </w:rPr>
        <w:t xml:space="preserve"> </w:t>
      </w:r>
      <w:r w:rsidR="00CD57BD" w:rsidRPr="00816DDD">
        <w:rPr>
          <w:szCs w:val="24"/>
        </w:rPr>
        <w:t xml:space="preserve">lower spot price </w:t>
      </w:r>
      <w:r w:rsidR="00273C19" w:rsidRPr="00816DDD">
        <w:rPr>
          <w:szCs w:val="24"/>
        </w:rPr>
        <w:t xml:space="preserve">it pays </w:t>
      </w:r>
      <w:r w:rsidR="00CD57BD" w:rsidRPr="00816DDD">
        <w:rPr>
          <w:szCs w:val="24"/>
        </w:rPr>
        <w:t>when the commodit</w:t>
      </w:r>
      <w:r w:rsidR="004C3BD3" w:rsidRPr="00816DDD">
        <w:rPr>
          <w:szCs w:val="24"/>
        </w:rPr>
        <w:t>y</w:t>
      </w:r>
      <w:r w:rsidR="00CD57BD" w:rsidRPr="00816DDD">
        <w:rPr>
          <w:szCs w:val="24"/>
        </w:rPr>
        <w:t xml:space="preserve"> </w:t>
      </w:r>
      <w:r w:rsidR="004C3BD3" w:rsidRPr="00816DDD">
        <w:rPr>
          <w:szCs w:val="24"/>
        </w:rPr>
        <w:t>is</w:t>
      </w:r>
      <w:r w:rsidR="00CD57BD" w:rsidRPr="00816DDD">
        <w:rPr>
          <w:szCs w:val="24"/>
        </w:rPr>
        <w:t xml:space="preserve"> </w:t>
      </w:r>
      <w:r w:rsidR="004619BA" w:rsidRPr="00816DDD">
        <w:rPr>
          <w:szCs w:val="24"/>
        </w:rPr>
        <w:t xml:space="preserve">later </w:t>
      </w:r>
      <w:r w:rsidR="00CD57BD" w:rsidRPr="00816DDD">
        <w:rPr>
          <w:szCs w:val="24"/>
        </w:rPr>
        <w:t xml:space="preserve">purchased </w:t>
      </w:r>
      <w:r w:rsidR="002B0707" w:rsidRPr="00816DDD">
        <w:rPr>
          <w:szCs w:val="24"/>
        </w:rPr>
        <w:t>o</w:t>
      </w:r>
      <w:r w:rsidR="00CD57BD" w:rsidRPr="00816DDD">
        <w:rPr>
          <w:szCs w:val="24"/>
        </w:rPr>
        <w:t xml:space="preserve">n the cash market.  </w:t>
      </w:r>
      <w:r w:rsidR="004619BA" w:rsidRPr="00816DDD">
        <w:rPr>
          <w:szCs w:val="24"/>
        </w:rPr>
        <w:t xml:space="preserve">When going “long” in the </w:t>
      </w:r>
      <w:r w:rsidR="00CD57BD" w:rsidRPr="00816DDD">
        <w:rPr>
          <w:szCs w:val="24"/>
        </w:rPr>
        <w:t xml:space="preserve">futures </w:t>
      </w:r>
      <w:r w:rsidR="004619BA" w:rsidRPr="00816DDD">
        <w:rPr>
          <w:szCs w:val="24"/>
        </w:rPr>
        <w:t>market</w:t>
      </w:r>
      <w:r w:rsidR="00CD57BD" w:rsidRPr="00816DDD">
        <w:rPr>
          <w:szCs w:val="24"/>
        </w:rPr>
        <w:t>, the hedger is protected from price increases but pays for th</w:t>
      </w:r>
      <w:r w:rsidR="004619BA" w:rsidRPr="00816DDD">
        <w:rPr>
          <w:szCs w:val="24"/>
        </w:rPr>
        <w:t xml:space="preserve">at </w:t>
      </w:r>
      <w:r w:rsidR="00CD57BD" w:rsidRPr="00816DDD">
        <w:rPr>
          <w:szCs w:val="24"/>
        </w:rPr>
        <w:t xml:space="preserve">protection by giving </w:t>
      </w:r>
      <w:r w:rsidR="002B0707" w:rsidRPr="00816DDD">
        <w:rPr>
          <w:szCs w:val="24"/>
        </w:rPr>
        <w:t>up any</w:t>
      </w:r>
      <w:r w:rsidR="00CD57BD" w:rsidRPr="00816DDD">
        <w:rPr>
          <w:szCs w:val="24"/>
        </w:rPr>
        <w:t xml:space="preserve"> </w:t>
      </w:r>
      <w:r w:rsidR="00251A5A" w:rsidRPr="00816DDD">
        <w:rPr>
          <w:szCs w:val="24"/>
        </w:rPr>
        <w:t xml:space="preserve">potential </w:t>
      </w:r>
      <w:r w:rsidR="002B0707" w:rsidRPr="00816DDD">
        <w:rPr>
          <w:szCs w:val="24"/>
        </w:rPr>
        <w:t>gains</w:t>
      </w:r>
      <w:r w:rsidR="00CD57BD" w:rsidRPr="00816DDD">
        <w:rPr>
          <w:szCs w:val="24"/>
        </w:rPr>
        <w:t xml:space="preserve"> from price decreases. </w:t>
      </w:r>
      <w:r w:rsidR="006A31F0" w:rsidRPr="00816DDD">
        <w:rPr>
          <w:szCs w:val="24"/>
        </w:rPr>
        <w:t xml:space="preserve"> </w:t>
      </w:r>
      <w:r w:rsidR="00F21786" w:rsidRPr="00816DDD">
        <w:rPr>
          <w:szCs w:val="24"/>
        </w:rPr>
        <w:t xml:space="preserve">This is why there is no cost to </w:t>
      </w:r>
      <w:r w:rsidR="00D377F4" w:rsidRPr="00816DDD">
        <w:rPr>
          <w:szCs w:val="24"/>
        </w:rPr>
        <w:t>enter into</w:t>
      </w:r>
      <w:r w:rsidR="00F21786" w:rsidRPr="00816DDD">
        <w:rPr>
          <w:szCs w:val="24"/>
        </w:rPr>
        <w:t xml:space="preserve"> a futures contract.</w:t>
      </w:r>
    </w:p>
    <w:p w14:paraId="646494C7" w14:textId="77777777" w:rsidR="006A31F0" w:rsidRPr="00816DDD" w:rsidRDefault="006A31F0" w:rsidP="00A23BCC">
      <w:pPr>
        <w:spacing w:after="0" w:line="240" w:lineRule="auto"/>
        <w:rPr>
          <w:szCs w:val="24"/>
        </w:rPr>
      </w:pPr>
    </w:p>
    <w:p w14:paraId="58064BD4" w14:textId="45A0DE93" w:rsidR="00F21786" w:rsidRPr="00816DDD" w:rsidRDefault="00F21786" w:rsidP="00F21786">
      <w:pPr>
        <w:widowControl w:val="0"/>
        <w:spacing w:after="0" w:line="240" w:lineRule="auto"/>
        <w:ind w:right="-90"/>
        <w:rPr>
          <w:szCs w:val="24"/>
        </w:rPr>
      </w:pPr>
      <w:r w:rsidRPr="00816DDD">
        <w:rPr>
          <w:rFonts w:hint="cs"/>
          <w:szCs w:val="24"/>
        </w:rPr>
        <w:t xml:space="preserve">The protection provided by </w:t>
      </w:r>
      <w:r w:rsidRPr="00816DDD">
        <w:rPr>
          <w:szCs w:val="24"/>
        </w:rPr>
        <w:t xml:space="preserve">a </w:t>
      </w:r>
      <w:r w:rsidRPr="00816DDD">
        <w:rPr>
          <w:rFonts w:hint="cs"/>
          <w:szCs w:val="24"/>
        </w:rPr>
        <w:t xml:space="preserve">call or put option is different from </w:t>
      </w:r>
      <w:r w:rsidRPr="00816DDD">
        <w:rPr>
          <w:szCs w:val="24"/>
        </w:rPr>
        <w:t xml:space="preserve">a </w:t>
      </w:r>
      <w:r w:rsidR="00FA672D" w:rsidRPr="00816DDD">
        <w:rPr>
          <w:szCs w:val="24"/>
        </w:rPr>
        <w:t>futures</w:t>
      </w:r>
      <w:r w:rsidRPr="00816DDD">
        <w:rPr>
          <w:rFonts w:hint="cs"/>
          <w:szCs w:val="24"/>
        </w:rPr>
        <w:t xml:space="preserve"> contract.  </w:t>
      </w:r>
      <w:r w:rsidRPr="00816DDD">
        <w:rPr>
          <w:szCs w:val="24"/>
        </w:rPr>
        <w:t>T</w:t>
      </w:r>
      <w:r w:rsidRPr="00816DDD">
        <w:rPr>
          <w:rFonts w:hint="cs"/>
          <w:szCs w:val="24"/>
        </w:rPr>
        <w:t xml:space="preserve">he </w:t>
      </w:r>
      <w:r w:rsidR="00FA672D" w:rsidRPr="00816DDD">
        <w:rPr>
          <w:szCs w:val="24"/>
        </w:rPr>
        <w:t>holder</w:t>
      </w:r>
      <w:r w:rsidRPr="00816DDD">
        <w:rPr>
          <w:rFonts w:hint="cs"/>
          <w:szCs w:val="24"/>
        </w:rPr>
        <w:t xml:space="preserve"> of </w:t>
      </w:r>
      <w:r w:rsidR="00251A5A" w:rsidRPr="00816DDD">
        <w:rPr>
          <w:szCs w:val="24"/>
        </w:rPr>
        <w:t>a</w:t>
      </w:r>
      <w:r w:rsidRPr="00816DDD">
        <w:rPr>
          <w:rFonts w:hint="cs"/>
          <w:szCs w:val="24"/>
        </w:rPr>
        <w:t xml:space="preserve"> call option is protected from </w:t>
      </w:r>
      <w:r w:rsidR="00D377F4" w:rsidRPr="00816DDD">
        <w:rPr>
          <w:szCs w:val="24"/>
        </w:rPr>
        <w:t xml:space="preserve">rising commodity prices </w:t>
      </w:r>
      <w:r w:rsidRPr="00816DDD">
        <w:rPr>
          <w:rFonts w:hint="cs"/>
          <w:szCs w:val="24"/>
        </w:rPr>
        <w:t xml:space="preserve">but still benefits if </w:t>
      </w:r>
      <w:r w:rsidR="00D377F4" w:rsidRPr="00816DDD">
        <w:rPr>
          <w:szCs w:val="24"/>
        </w:rPr>
        <w:t>prices fall</w:t>
      </w:r>
      <w:r w:rsidRPr="00816DDD">
        <w:rPr>
          <w:rFonts w:hint="cs"/>
          <w:szCs w:val="24"/>
        </w:rPr>
        <w:t xml:space="preserve">.  </w:t>
      </w:r>
      <w:r w:rsidR="00C42CD9" w:rsidRPr="00816DDD">
        <w:rPr>
          <w:szCs w:val="24"/>
        </w:rPr>
        <w:t>An o</w:t>
      </w:r>
      <w:r w:rsidRPr="00816DDD">
        <w:rPr>
          <w:rFonts w:hint="cs"/>
          <w:szCs w:val="24"/>
        </w:rPr>
        <w:t xml:space="preserve">ption </w:t>
      </w:r>
      <w:r w:rsidR="002B0707" w:rsidRPr="00816DDD">
        <w:rPr>
          <w:szCs w:val="24"/>
        </w:rPr>
        <w:t>will</w:t>
      </w:r>
      <w:r w:rsidR="00BF6F8D" w:rsidRPr="00816DDD">
        <w:rPr>
          <w:szCs w:val="24"/>
        </w:rPr>
        <w:t xml:space="preserve"> only </w:t>
      </w:r>
      <w:r w:rsidRPr="00816DDD">
        <w:rPr>
          <w:rFonts w:hint="cs"/>
          <w:szCs w:val="24"/>
        </w:rPr>
        <w:t xml:space="preserve">be exercised if </w:t>
      </w:r>
      <w:r w:rsidR="00C42CD9" w:rsidRPr="00816DDD">
        <w:rPr>
          <w:szCs w:val="24"/>
        </w:rPr>
        <w:t xml:space="preserve">the </w:t>
      </w:r>
      <w:r w:rsidR="004C3BD3" w:rsidRPr="00816DDD">
        <w:rPr>
          <w:szCs w:val="24"/>
        </w:rPr>
        <w:t>spot price rise</w:t>
      </w:r>
      <w:r w:rsidR="00C42CD9" w:rsidRPr="00816DDD">
        <w:rPr>
          <w:szCs w:val="24"/>
        </w:rPr>
        <w:t>s</w:t>
      </w:r>
      <w:r w:rsidR="004C3BD3" w:rsidRPr="00816DDD">
        <w:rPr>
          <w:szCs w:val="24"/>
        </w:rPr>
        <w:t xml:space="preserve"> </w:t>
      </w:r>
      <w:r w:rsidR="00C42CD9" w:rsidRPr="00816DDD">
        <w:rPr>
          <w:szCs w:val="24"/>
        </w:rPr>
        <w:t xml:space="preserve">above the strike price </w:t>
      </w:r>
      <w:r w:rsidR="004C3BD3" w:rsidRPr="00816DDD">
        <w:rPr>
          <w:szCs w:val="24"/>
        </w:rPr>
        <w:t xml:space="preserve">and </w:t>
      </w:r>
      <w:r w:rsidRPr="00816DDD">
        <w:rPr>
          <w:rFonts w:hint="cs"/>
          <w:szCs w:val="24"/>
        </w:rPr>
        <w:t>t</w:t>
      </w:r>
      <w:r w:rsidR="00C42CD9" w:rsidRPr="00816DDD">
        <w:rPr>
          <w:szCs w:val="24"/>
        </w:rPr>
        <w:t>he option is</w:t>
      </w:r>
      <w:r w:rsidRPr="00816DDD">
        <w:rPr>
          <w:rFonts w:hint="cs"/>
          <w:szCs w:val="24"/>
        </w:rPr>
        <w:t xml:space="preserve"> “in the money</w:t>
      </w:r>
      <w:r w:rsidR="00D235B9">
        <w:rPr>
          <w:szCs w:val="24"/>
        </w:rPr>
        <w:t>,</w:t>
      </w:r>
      <w:r w:rsidRPr="00816DDD">
        <w:rPr>
          <w:rFonts w:hint="cs"/>
          <w:szCs w:val="24"/>
        </w:rPr>
        <w:t xml:space="preserve">” which means the </w:t>
      </w:r>
      <w:r w:rsidR="002B0707" w:rsidRPr="00816DDD">
        <w:rPr>
          <w:szCs w:val="24"/>
        </w:rPr>
        <w:t>holder</w:t>
      </w:r>
      <w:r w:rsidRPr="00816DDD">
        <w:rPr>
          <w:rFonts w:hint="cs"/>
          <w:szCs w:val="24"/>
        </w:rPr>
        <w:t xml:space="preserve"> of the option makes a profit</w:t>
      </w:r>
      <w:r w:rsidR="004C3BD3" w:rsidRPr="00816DDD">
        <w:rPr>
          <w:szCs w:val="24"/>
        </w:rPr>
        <w:t xml:space="preserve"> </w:t>
      </w:r>
      <w:r w:rsidR="00C42CD9" w:rsidRPr="00816DDD">
        <w:rPr>
          <w:szCs w:val="24"/>
        </w:rPr>
        <w:t xml:space="preserve">when </w:t>
      </w:r>
      <w:r w:rsidR="004C3BD3" w:rsidRPr="00816DDD">
        <w:rPr>
          <w:szCs w:val="24"/>
        </w:rPr>
        <w:t xml:space="preserve">the contract </w:t>
      </w:r>
      <w:r w:rsidR="00C42CD9" w:rsidRPr="00816DDD">
        <w:rPr>
          <w:szCs w:val="24"/>
        </w:rPr>
        <w:t>is</w:t>
      </w:r>
      <w:r w:rsidR="004C3BD3" w:rsidRPr="00816DDD">
        <w:rPr>
          <w:szCs w:val="24"/>
        </w:rPr>
        <w:t xml:space="preserve"> exercised</w:t>
      </w:r>
      <w:r w:rsidRPr="00816DDD">
        <w:rPr>
          <w:rFonts w:hint="cs"/>
          <w:szCs w:val="24"/>
        </w:rPr>
        <w:t xml:space="preserve">.  If the option </w:t>
      </w:r>
      <w:r w:rsidR="00C42CD9" w:rsidRPr="00816DDD">
        <w:rPr>
          <w:szCs w:val="24"/>
        </w:rPr>
        <w:t>is</w:t>
      </w:r>
      <w:r w:rsidRPr="00816DDD">
        <w:rPr>
          <w:rFonts w:hint="cs"/>
          <w:szCs w:val="24"/>
        </w:rPr>
        <w:t xml:space="preserve"> “out of the money,” the </w:t>
      </w:r>
      <w:r w:rsidR="00251A5A" w:rsidRPr="00816DDD">
        <w:rPr>
          <w:szCs w:val="24"/>
        </w:rPr>
        <w:t xml:space="preserve">holder </w:t>
      </w:r>
      <w:r w:rsidRPr="00816DDD">
        <w:rPr>
          <w:rFonts w:hint="cs"/>
          <w:szCs w:val="24"/>
        </w:rPr>
        <w:t xml:space="preserve">will not exercise </w:t>
      </w:r>
      <w:r w:rsidR="00C42CD9" w:rsidRPr="00816DDD">
        <w:rPr>
          <w:szCs w:val="24"/>
        </w:rPr>
        <w:t xml:space="preserve">it </w:t>
      </w:r>
      <w:r w:rsidR="00251A5A" w:rsidRPr="00816DDD">
        <w:rPr>
          <w:szCs w:val="24"/>
        </w:rPr>
        <w:t xml:space="preserve">but will </w:t>
      </w:r>
      <w:r w:rsidR="00BF6F8D" w:rsidRPr="00816DDD">
        <w:rPr>
          <w:szCs w:val="24"/>
        </w:rPr>
        <w:t>benefit from lower spot prices</w:t>
      </w:r>
      <w:r w:rsidR="00B864B4" w:rsidRPr="00816DDD">
        <w:rPr>
          <w:szCs w:val="24"/>
        </w:rPr>
        <w:t xml:space="preserve"> when the commodity is </w:t>
      </w:r>
      <w:r w:rsidR="00FA672D" w:rsidRPr="00816DDD">
        <w:rPr>
          <w:szCs w:val="24"/>
        </w:rPr>
        <w:t xml:space="preserve">eventually </w:t>
      </w:r>
      <w:r w:rsidR="00B864B4" w:rsidRPr="00816DDD">
        <w:rPr>
          <w:szCs w:val="24"/>
        </w:rPr>
        <w:t>purchased</w:t>
      </w:r>
      <w:r w:rsidR="00C42CD9" w:rsidRPr="00816DDD">
        <w:rPr>
          <w:szCs w:val="24"/>
        </w:rPr>
        <w:t xml:space="preserve"> in the cash market</w:t>
      </w:r>
      <w:r w:rsidRPr="00816DDD">
        <w:rPr>
          <w:rFonts w:hint="cs"/>
          <w:szCs w:val="24"/>
        </w:rPr>
        <w:t xml:space="preserve">.  Why would the other </w:t>
      </w:r>
      <w:r w:rsidR="00B864B4" w:rsidRPr="00816DDD">
        <w:rPr>
          <w:szCs w:val="24"/>
        </w:rPr>
        <w:t xml:space="preserve">counterparty </w:t>
      </w:r>
      <w:r w:rsidRPr="00816DDD">
        <w:rPr>
          <w:rFonts w:hint="cs"/>
          <w:szCs w:val="24"/>
        </w:rPr>
        <w:t>agree to write an option if they had to compensate the</w:t>
      </w:r>
      <w:r w:rsidR="00FA672D" w:rsidRPr="00816DDD">
        <w:rPr>
          <w:szCs w:val="24"/>
        </w:rPr>
        <w:t xml:space="preserve"> holder</w:t>
      </w:r>
      <w:r w:rsidRPr="00816DDD">
        <w:rPr>
          <w:rFonts w:hint="cs"/>
          <w:szCs w:val="24"/>
        </w:rPr>
        <w:t xml:space="preserve"> if the </w:t>
      </w:r>
      <w:r w:rsidR="008F1174" w:rsidRPr="00816DDD">
        <w:rPr>
          <w:szCs w:val="24"/>
        </w:rPr>
        <w:t xml:space="preserve">price </w:t>
      </w:r>
      <w:r w:rsidRPr="00816DDD">
        <w:rPr>
          <w:rFonts w:hint="cs"/>
          <w:szCs w:val="24"/>
        </w:rPr>
        <w:t>moved against the</w:t>
      </w:r>
      <w:r w:rsidR="00347470" w:rsidRPr="00816DDD">
        <w:rPr>
          <w:szCs w:val="24"/>
        </w:rPr>
        <w:t xml:space="preserve"> writer</w:t>
      </w:r>
      <w:r w:rsidRPr="00816DDD">
        <w:rPr>
          <w:rFonts w:hint="cs"/>
          <w:szCs w:val="24"/>
        </w:rPr>
        <w:t>, but did not receive anything if the</w:t>
      </w:r>
      <w:r w:rsidR="008F1174" w:rsidRPr="00816DDD">
        <w:rPr>
          <w:szCs w:val="24"/>
        </w:rPr>
        <w:t xml:space="preserve"> price</w:t>
      </w:r>
      <w:r w:rsidRPr="00816DDD">
        <w:rPr>
          <w:rFonts w:hint="cs"/>
          <w:szCs w:val="24"/>
        </w:rPr>
        <w:t xml:space="preserve"> moved in the</w:t>
      </w:r>
      <w:r w:rsidR="00347470" w:rsidRPr="00816DDD">
        <w:rPr>
          <w:szCs w:val="24"/>
        </w:rPr>
        <w:t xml:space="preserve"> writer’s</w:t>
      </w:r>
      <w:r w:rsidRPr="00816DDD">
        <w:rPr>
          <w:rFonts w:hint="cs"/>
          <w:szCs w:val="24"/>
        </w:rPr>
        <w:t xml:space="preserve"> favour?  The answer is </w:t>
      </w:r>
      <w:r w:rsidR="00D235B9">
        <w:rPr>
          <w:szCs w:val="24"/>
        </w:rPr>
        <w:t>that the</w:t>
      </w:r>
      <w:r w:rsidR="00C42CD9" w:rsidRPr="00816DDD">
        <w:rPr>
          <w:szCs w:val="24"/>
        </w:rPr>
        <w:t xml:space="preserve"> </w:t>
      </w:r>
      <w:r w:rsidRPr="00816DDD">
        <w:rPr>
          <w:rFonts w:hint="cs"/>
          <w:szCs w:val="24"/>
        </w:rPr>
        <w:t>option</w:t>
      </w:r>
      <w:r w:rsidR="00C42CD9" w:rsidRPr="00816DDD">
        <w:rPr>
          <w:szCs w:val="24"/>
        </w:rPr>
        <w:t xml:space="preserve"> is</w:t>
      </w:r>
      <w:r w:rsidRPr="00816DDD">
        <w:rPr>
          <w:rFonts w:hint="cs"/>
          <w:szCs w:val="24"/>
        </w:rPr>
        <w:t xml:space="preserve"> not free.  </w:t>
      </w:r>
      <w:r w:rsidR="00B864B4" w:rsidRPr="00816DDD">
        <w:rPr>
          <w:szCs w:val="24"/>
        </w:rPr>
        <w:t>Option h</w:t>
      </w:r>
      <w:r w:rsidR="00251A5A" w:rsidRPr="00816DDD">
        <w:rPr>
          <w:szCs w:val="24"/>
        </w:rPr>
        <w:t xml:space="preserve">olders </w:t>
      </w:r>
      <w:r w:rsidRPr="00816DDD">
        <w:rPr>
          <w:rFonts w:hint="cs"/>
          <w:szCs w:val="24"/>
        </w:rPr>
        <w:t>must pay option writers a premium to compensate</w:t>
      </w:r>
      <w:r w:rsidR="00C42CD9" w:rsidRPr="00816DDD">
        <w:rPr>
          <w:szCs w:val="24"/>
        </w:rPr>
        <w:t xml:space="preserve"> th</w:t>
      </w:r>
      <w:r w:rsidR="00347470" w:rsidRPr="00816DDD">
        <w:rPr>
          <w:szCs w:val="24"/>
        </w:rPr>
        <w:t xml:space="preserve">e writer </w:t>
      </w:r>
      <w:r w:rsidR="000B5F9B" w:rsidRPr="00816DDD">
        <w:rPr>
          <w:szCs w:val="24"/>
        </w:rPr>
        <w:t>f</w:t>
      </w:r>
      <w:r w:rsidRPr="00816DDD">
        <w:rPr>
          <w:rFonts w:hint="cs"/>
          <w:szCs w:val="24"/>
        </w:rPr>
        <w:t>or having to pay out on some contracts</w:t>
      </w:r>
      <w:r w:rsidRPr="00816DDD">
        <w:rPr>
          <w:szCs w:val="24"/>
        </w:rPr>
        <w:t>.  Options writers make money when the premiums received exceed the payouts</w:t>
      </w:r>
      <w:r w:rsidR="001268B4" w:rsidRPr="00816DDD">
        <w:rPr>
          <w:szCs w:val="24"/>
        </w:rPr>
        <w:t xml:space="preserve"> made to option holders.</w:t>
      </w:r>
      <w:r w:rsidR="00B864B4" w:rsidRPr="00816DDD">
        <w:rPr>
          <w:szCs w:val="24"/>
        </w:rPr>
        <w:t xml:space="preserve">  Companies may </w:t>
      </w:r>
      <w:r w:rsidR="00191327" w:rsidRPr="00816DDD">
        <w:rPr>
          <w:szCs w:val="24"/>
        </w:rPr>
        <w:t xml:space="preserve">decide </w:t>
      </w:r>
      <w:r w:rsidR="00B864B4" w:rsidRPr="00816DDD">
        <w:rPr>
          <w:szCs w:val="24"/>
        </w:rPr>
        <w:t>to use call options instead</w:t>
      </w:r>
      <w:r w:rsidR="00554DC8" w:rsidRPr="00816DDD">
        <w:rPr>
          <w:szCs w:val="24"/>
        </w:rPr>
        <w:t xml:space="preserve"> of futures</w:t>
      </w:r>
      <w:r w:rsidR="00A4161F" w:rsidRPr="00816DDD">
        <w:rPr>
          <w:szCs w:val="24"/>
        </w:rPr>
        <w:t xml:space="preserve"> to hedge commodity risk</w:t>
      </w:r>
      <w:r w:rsidR="00554DC8" w:rsidRPr="00816DDD">
        <w:rPr>
          <w:szCs w:val="24"/>
        </w:rPr>
        <w:t xml:space="preserve"> if they think the premium</w:t>
      </w:r>
      <w:r w:rsidR="00347470" w:rsidRPr="00816DDD">
        <w:rPr>
          <w:szCs w:val="24"/>
        </w:rPr>
        <w:t>s</w:t>
      </w:r>
      <w:r w:rsidR="00554DC8" w:rsidRPr="00816DDD">
        <w:rPr>
          <w:szCs w:val="24"/>
        </w:rPr>
        <w:t xml:space="preserve"> </w:t>
      </w:r>
      <w:r w:rsidR="00347470" w:rsidRPr="00816DDD">
        <w:rPr>
          <w:szCs w:val="24"/>
        </w:rPr>
        <w:t>will be</w:t>
      </w:r>
      <w:r w:rsidR="00554DC8" w:rsidRPr="00816DDD">
        <w:rPr>
          <w:szCs w:val="24"/>
        </w:rPr>
        <w:t xml:space="preserve"> less than what they </w:t>
      </w:r>
      <w:r w:rsidR="00347470" w:rsidRPr="00816DDD">
        <w:rPr>
          <w:szCs w:val="24"/>
        </w:rPr>
        <w:t xml:space="preserve">will </w:t>
      </w:r>
      <w:r w:rsidR="00554DC8" w:rsidRPr="00816DDD">
        <w:rPr>
          <w:szCs w:val="24"/>
        </w:rPr>
        <w:t>gain if spot prices f</w:t>
      </w:r>
      <w:r w:rsidR="00347470" w:rsidRPr="00816DDD">
        <w:rPr>
          <w:szCs w:val="24"/>
        </w:rPr>
        <w:t>a</w:t>
      </w:r>
      <w:r w:rsidR="00554DC8" w:rsidRPr="00816DDD">
        <w:rPr>
          <w:szCs w:val="24"/>
        </w:rPr>
        <w:t>ll.  The logic is similar for</w:t>
      </w:r>
      <w:r w:rsidR="00490004" w:rsidRPr="00816DDD">
        <w:rPr>
          <w:szCs w:val="24"/>
        </w:rPr>
        <w:t xml:space="preserve"> </w:t>
      </w:r>
      <w:r w:rsidR="00554DC8" w:rsidRPr="00816DDD">
        <w:rPr>
          <w:szCs w:val="24"/>
        </w:rPr>
        <w:t>put option</w:t>
      </w:r>
      <w:r w:rsidR="00490004" w:rsidRPr="00816DDD">
        <w:rPr>
          <w:szCs w:val="24"/>
        </w:rPr>
        <w:t>s</w:t>
      </w:r>
      <w:r w:rsidR="00554DC8" w:rsidRPr="00816DDD">
        <w:rPr>
          <w:szCs w:val="24"/>
        </w:rPr>
        <w:t>.</w:t>
      </w:r>
    </w:p>
    <w:p w14:paraId="23964F8D" w14:textId="77777777" w:rsidR="00FA6C29" w:rsidRPr="00816DDD" w:rsidRDefault="00FA6C29" w:rsidP="00FA6C29">
      <w:pPr>
        <w:spacing w:after="0" w:line="240" w:lineRule="auto"/>
        <w:rPr>
          <w:szCs w:val="24"/>
          <w:shd w:val="clear" w:color="auto" w:fill="FFFFFF"/>
        </w:rPr>
      </w:pPr>
    </w:p>
    <w:p w14:paraId="5876AB37" w14:textId="4CDDD22D" w:rsidR="00FA6C29" w:rsidRPr="00816DDD" w:rsidRDefault="00FA6C29" w:rsidP="00FA6C29">
      <w:pPr>
        <w:spacing w:after="0" w:line="240" w:lineRule="auto"/>
        <w:ind w:left="360"/>
        <w:rPr>
          <w:szCs w:val="24"/>
        </w:rPr>
      </w:pPr>
      <w:r w:rsidRPr="00816DDD">
        <w:rPr>
          <w:b/>
          <w:bCs/>
          <w:szCs w:val="24"/>
          <w:shd w:val="clear" w:color="auto" w:fill="FFFFFF"/>
        </w:rPr>
        <w:t>Call option</w:t>
      </w:r>
      <w:r w:rsidR="005C19A3" w:rsidRPr="00816DDD">
        <w:rPr>
          <w:b/>
          <w:bCs/>
          <w:szCs w:val="24"/>
          <w:shd w:val="clear" w:color="auto" w:fill="FFFFFF"/>
        </w:rPr>
        <w:t>s</w:t>
      </w:r>
      <w:r w:rsidRPr="00816DDD">
        <w:rPr>
          <w:b/>
          <w:bCs/>
          <w:szCs w:val="24"/>
          <w:shd w:val="clear" w:color="auto" w:fill="FFFFFF"/>
        </w:rPr>
        <w:t xml:space="preserve">.  </w:t>
      </w:r>
      <w:r w:rsidRPr="00816DDD">
        <w:rPr>
          <w:szCs w:val="24"/>
          <w:shd w:val="clear" w:color="auto" w:fill="FFFFFF"/>
        </w:rPr>
        <w:t>A</w:t>
      </w:r>
      <w:r w:rsidRPr="00816DDD">
        <w:rPr>
          <w:szCs w:val="24"/>
        </w:rPr>
        <w:t xml:space="preserve"> flour mill needs 100,000 bushels of milling wheat in three months, but it is concerned that the spot price may rise.  It purchased twenty 5,000-bushel milling wheat </w:t>
      </w:r>
      <w:proofErr w:type="gramStart"/>
      <w:r w:rsidR="004A3507" w:rsidRPr="00816DDD">
        <w:rPr>
          <w:szCs w:val="24"/>
        </w:rPr>
        <w:t>call</w:t>
      </w:r>
      <w:proofErr w:type="gramEnd"/>
      <w:r w:rsidR="004A3507" w:rsidRPr="00816DDD">
        <w:rPr>
          <w:szCs w:val="24"/>
        </w:rPr>
        <w:t xml:space="preserve"> </w:t>
      </w:r>
      <w:r w:rsidRPr="00816DDD">
        <w:rPr>
          <w:szCs w:val="24"/>
        </w:rPr>
        <w:t>option</w:t>
      </w:r>
      <w:r w:rsidR="004A3507" w:rsidRPr="00816DDD">
        <w:rPr>
          <w:szCs w:val="24"/>
        </w:rPr>
        <w:t>s</w:t>
      </w:r>
      <w:r w:rsidRPr="00816DDD">
        <w:rPr>
          <w:szCs w:val="24"/>
        </w:rPr>
        <w:t xml:space="preserve"> contracts </w:t>
      </w:r>
      <w:r w:rsidR="00490004" w:rsidRPr="00816DDD">
        <w:rPr>
          <w:szCs w:val="24"/>
        </w:rPr>
        <w:t>with</w:t>
      </w:r>
      <w:r w:rsidR="00964C78" w:rsidRPr="00816DDD">
        <w:rPr>
          <w:szCs w:val="24"/>
        </w:rPr>
        <w:t xml:space="preserve"> a premium of USD </w:t>
      </w:r>
      <w:r w:rsidR="00DA6187" w:rsidRPr="00816DDD">
        <w:rPr>
          <w:szCs w:val="24"/>
        </w:rPr>
        <w:t>0.4439</w:t>
      </w:r>
      <w:r w:rsidR="00964C78" w:rsidRPr="00816DDD">
        <w:rPr>
          <w:szCs w:val="24"/>
        </w:rPr>
        <w:t xml:space="preserve"> per bushel.  D</w:t>
      </w:r>
      <w:r w:rsidRPr="00816DDD">
        <w:rPr>
          <w:szCs w:val="24"/>
        </w:rPr>
        <w:t xml:space="preserve">elivery </w:t>
      </w:r>
      <w:r w:rsidR="00964C78" w:rsidRPr="00816DDD">
        <w:rPr>
          <w:szCs w:val="24"/>
        </w:rPr>
        <w:t xml:space="preserve">is </w:t>
      </w:r>
      <w:r w:rsidRPr="00816DDD">
        <w:rPr>
          <w:szCs w:val="24"/>
        </w:rPr>
        <w:t>in three months at a strike price of USD 8.8903</w:t>
      </w:r>
      <w:r w:rsidR="00DA6187" w:rsidRPr="00816DDD">
        <w:rPr>
          <w:szCs w:val="24"/>
        </w:rPr>
        <w:t xml:space="preserve"> per bushel</w:t>
      </w:r>
      <w:r w:rsidRPr="00816DDD">
        <w:rPr>
          <w:szCs w:val="24"/>
        </w:rPr>
        <w:t xml:space="preserve">.  If the spot price </w:t>
      </w:r>
      <w:r w:rsidR="006134EB">
        <w:rPr>
          <w:szCs w:val="24"/>
        </w:rPr>
        <w:t>were</w:t>
      </w:r>
      <w:r w:rsidRPr="00816DDD">
        <w:rPr>
          <w:szCs w:val="24"/>
        </w:rPr>
        <w:t xml:space="preserve"> USD 11.5293</w:t>
      </w:r>
      <w:r w:rsidR="00DA6187" w:rsidRPr="00816DDD">
        <w:rPr>
          <w:szCs w:val="24"/>
        </w:rPr>
        <w:t xml:space="preserve"> per bushel</w:t>
      </w:r>
      <w:r w:rsidRPr="00816DDD">
        <w:rPr>
          <w:szCs w:val="24"/>
        </w:rPr>
        <w:t xml:space="preserve"> on the expiry date, the options contracts would be “in the money” and the company would gain USD 2</w:t>
      </w:r>
      <w:r w:rsidR="00592A2D" w:rsidRPr="00816DDD">
        <w:rPr>
          <w:szCs w:val="24"/>
        </w:rPr>
        <w:t>19,510</w:t>
      </w:r>
      <w:r w:rsidRPr="00816DDD">
        <w:rPr>
          <w:szCs w:val="24"/>
        </w:rPr>
        <w:t xml:space="preserve"> ((11.5293 – 8.8903</w:t>
      </w:r>
      <w:r w:rsidR="00DA6187" w:rsidRPr="00816DDD">
        <w:rPr>
          <w:szCs w:val="24"/>
        </w:rPr>
        <w:t xml:space="preserve"> – 0.4439</w:t>
      </w:r>
      <w:r w:rsidRPr="00816DDD">
        <w:rPr>
          <w:szCs w:val="24"/>
        </w:rPr>
        <w:t>) x 5,000 x 20)</w:t>
      </w:r>
      <w:r w:rsidR="00592A2D" w:rsidRPr="00816DDD">
        <w:rPr>
          <w:szCs w:val="24"/>
        </w:rPr>
        <w:t xml:space="preserve"> </w:t>
      </w:r>
      <w:r w:rsidRPr="00816DDD">
        <w:rPr>
          <w:szCs w:val="24"/>
        </w:rPr>
        <w:t>when the position is closed</w:t>
      </w:r>
      <w:r w:rsidR="00592A2D" w:rsidRPr="00816DDD">
        <w:rPr>
          <w:szCs w:val="24"/>
        </w:rPr>
        <w:t>.  This approximately c</w:t>
      </w:r>
      <w:r w:rsidRPr="00816DDD">
        <w:rPr>
          <w:szCs w:val="24"/>
        </w:rPr>
        <w:t>over</w:t>
      </w:r>
      <w:r w:rsidR="00592A2D" w:rsidRPr="00816DDD">
        <w:rPr>
          <w:szCs w:val="24"/>
        </w:rPr>
        <w:t>s</w:t>
      </w:r>
      <w:r w:rsidRPr="00816DDD">
        <w:rPr>
          <w:szCs w:val="24"/>
        </w:rPr>
        <w:t xml:space="preserve"> its losses of USD 263,900 ((11.5293 – 8.8903) x 5,000 x 20) from having to pay more when it buys the milling wheat at a higher spot price </w:t>
      </w:r>
      <w:r w:rsidR="00964C78" w:rsidRPr="00816DDD">
        <w:rPr>
          <w:szCs w:val="24"/>
        </w:rPr>
        <w:t>o</w:t>
      </w:r>
      <w:r w:rsidRPr="00816DDD">
        <w:rPr>
          <w:szCs w:val="24"/>
        </w:rPr>
        <w:t xml:space="preserve">n the cash market.  </w:t>
      </w:r>
      <w:r w:rsidR="006F43B2" w:rsidRPr="00816DDD">
        <w:rPr>
          <w:szCs w:val="24"/>
        </w:rPr>
        <w:t>The difference is due to the premium costs</w:t>
      </w:r>
      <w:r w:rsidR="00490004" w:rsidRPr="00816DDD">
        <w:rPr>
          <w:szCs w:val="24"/>
        </w:rPr>
        <w:t xml:space="preserve"> of USD 44,390 (0.4439 x 5,000 x 20)</w:t>
      </w:r>
      <w:r w:rsidR="006F43B2" w:rsidRPr="00816DDD">
        <w:rPr>
          <w:szCs w:val="24"/>
        </w:rPr>
        <w:t xml:space="preserve">.  </w:t>
      </w:r>
      <w:r w:rsidRPr="00816DDD">
        <w:rPr>
          <w:szCs w:val="24"/>
        </w:rPr>
        <w:t>What if the price fell to a spot price of 7.1300?  The options contracts would be “out of the money</w:t>
      </w:r>
      <w:r w:rsidR="00D235B9">
        <w:rPr>
          <w:szCs w:val="24"/>
        </w:rPr>
        <w:t>,</w:t>
      </w:r>
      <w:r w:rsidR="00964C78" w:rsidRPr="00816DDD">
        <w:rPr>
          <w:szCs w:val="24"/>
        </w:rPr>
        <w:t>” so they would not be exercised, and the company would gain USD</w:t>
      </w:r>
      <w:r w:rsidR="006F43B2" w:rsidRPr="00816DDD">
        <w:rPr>
          <w:szCs w:val="24"/>
        </w:rPr>
        <w:t xml:space="preserve"> 123,640</w:t>
      </w:r>
      <w:r w:rsidR="00964C78" w:rsidRPr="00816DDD">
        <w:rPr>
          <w:szCs w:val="24"/>
        </w:rPr>
        <w:t xml:space="preserve"> ((</w:t>
      </w:r>
      <w:r w:rsidR="006F43B2" w:rsidRPr="00816DDD">
        <w:rPr>
          <w:szCs w:val="24"/>
        </w:rPr>
        <w:t xml:space="preserve">8.8903 - </w:t>
      </w:r>
      <w:r w:rsidR="00964C78" w:rsidRPr="00816DDD">
        <w:rPr>
          <w:szCs w:val="24"/>
        </w:rPr>
        <w:t>7.130</w:t>
      </w:r>
      <w:r w:rsidR="006F43B2" w:rsidRPr="00816DDD">
        <w:rPr>
          <w:szCs w:val="24"/>
        </w:rPr>
        <w:t>0</w:t>
      </w:r>
      <w:r w:rsidR="00964C78" w:rsidRPr="00816DDD">
        <w:rPr>
          <w:szCs w:val="24"/>
        </w:rPr>
        <w:t xml:space="preserve"> – </w:t>
      </w:r>
      <w:r w:rsidR="006F43B2" w:rsidRPr="00816DDD">
        <w:rPr>
          <w:szCs w:val="24"/>
        </w:rPr>
        <w:t>0.4439</w:t>
      </w:r>
      <w:r w:rsidR="00964C78" w:rsidRPr="00816DDD">
        <w:rPr>
          <w:szCs w:val="24"/>
        </w:rPr>
        <w:t xml:space="preserve">) x 5,000 x 20) when it buys the milling wheat at a lower spot price on the cash market.  </w:t>
      </w:r>
      <w:r w:rsidR="006F43B2" w:rsidRPr="00816DDD">
        <w:rPr>
          <w:szCs w:val="24"/>
        </w:rPr>
        <w:t>This includes the premium costs.</w:t>
      </w:r>
    </w:p>
    <w:p w14:paraId="39014F98" w14:textId="77777777" w:rsidR="00FA6C29" w:rsidRPr="00816DDD" w:rsidRDefault="00FA6C29" w:rsidP="00FA6C29">
      <w:pPr>
        <w:spacing w:after="0" w:line="240" w:lineRule="auto"/>
        <w:rPr>
          <w:szCs w:val="24"/>
          <w:shd w:val="clear" w:color="auto" w:fill="FFFFFF"/>
        </w:rPr>
      </w:pPr>
    </w:p>
    <w:p w14:paraId="4D151E1D" w14:textId="283C0189" w:rsidR="002372F8" w:rsidRPr="00816DDD" w:rsidRDefault="00FA6C29" w:rsidP="002372F8">
      <w:pPr>
        <w:spacing w:after="0" w:line="240" w:lineRule="auto"/>
        <w:ind w:left="360" w:right="-36"/>
        <w:rPr>
          <w:szCs w:val="24"/>
        </w:rPr>
      </w:pPr>
      <w:r w:rsidRPr="00816DDD">
        <w:rPr>
          <w:b/>
          <w:bCs/>
          <w:szCs w:val="24"/>
          <w:shd w:val="clear" w:color="auto" w:fill="FFFFFF"/>
        </w:rPr>
        <w:t>Put option</w:t>
      </w:r>
      <w:r w:rsidR="005C19A3" w:rsidRPr="00816DDD">
        <w:rPr>
          <w:b/>
          <w:bCs/>
          <w:szCs w:val="24"/>
          <w:shd w:val="clear" w:color="auto" w:fill="FFFFFF"/>
        </w:rPr>
        <w:t>s</w:t>
      </w:r>
      <w:r w:rsidRPr="00816DDD">
        <w:rPr>
          <w:b/>
          <w:bCs/>
          <w:szCs w:val="24"/>
          <w:shd w:val="clear" w:color="auto" w:fill="FFFFFF"/>
        </w:rPr>
        <w:t>.</w:t>
      </w:r>
      <w:r w:rsidR="002372F8" w:rsidRPr="00816DDD">
        <w:rPr>
          <w:szCs w:val="24"/>
        </w:rPr>
        <w:t xml:space="preserve">  A mining company has 100,000 pounds of copper inventory that it plans to sell in three months, but it is concerned that the spot price will fall.  It purchased four 25,000-pound copper </w:t>
      </w:r>
      <w:r w:rsidR="004A3507" w:rsidRPr="00816DDD">
        <w:rPr>
          <w:szCs w:val="24"/>
        </w:rPr>
        <w:t xml:space="preserve">put </w:t>
      </w:r>
      <w:r w:rsidR="00D235B9">
        <w:rPr>
          <w:szCs w:val="24"/>
        </w:rPr>
        <w:t>option</w:t>
      </w:r>
      <w:r w:rsidR="008C2EFA" w:rsidRPr="00816DDD">
        <w:rPr>
          <w:szCs w:val="24"/>
        </w:rPr>
        <w:t xml:space="preserve"> contracts</w:t>
      </w:r>
      <w:r w:rsidR="002372F8" w:rsidRPr="00816DDD">
        <w:rPr>
          <w:szCs w:val="24"/>
        </w:rPr>
        <w:t xml:space="preserve"> with a premium of USD</w:t>
      </w:r>
      <w:r w:rsidR="002844D2" w:rsidRPr="00816DDD">
        <w:rPr>
          <w:szCs w:val="24"/>
        </w:rPr>
        <w:t xml:space="preserve"> 0.1918</w:t>
      </w:r>
      <w:r w:rsidR="008C2EFA" w:rsidRPr="00816DDD">
        <w:rPr>
          <w:szCs w:val="24"/>
        </w:rPr>
        <w:t xml:space="preserve"> per pound</w:t>
      </w:r>
      <w:r w:rsidR="002372F8" w:rsidRPr="00816DDD">
        <w:rPr>
          <w:szCs w:val="24"/>
        </w:rPr>
        <w:t>.  Delivery</w:t>
      </w:r>
      <w:r w:rsidR="00E4351B" w:rsidRPr="00816DDD">
        <w:rPr>
          <w:szCs w:val="24"/>
        </w:rPr>
        <w:t xml:space="preserve"> is</w:t>
      </w:r>
      <w:r w:rsidR="002372F8" w:rsidRPr="00816DDD">
        <w:rPr>
          <w:szCs w:val="24"/>
        </w:rPr>
        <w:t xml:space="preserve"> in three months at a strike price of USD 3.8365</w:t>
      </w:r>
      <w:r w:rsidR="008C2EFA" w:rsidRPr="00816DDD">
        <w:rPr>
          <w:szCs w:val="24"/>
        </w:rPr>
        <w:t xml:space="preserve"> per pound</w:t>
      </w:r>
      <w:r w:rsidR="002372F8" w:rsidRPr="00816DDD">
        <w:rPr>
          <w:szCs w:val="24"/>
        </w:rPr>
        <w:t xml:space="preserve">.  If the spot price </w:t>
      </w:r>
      <w:r w:rsidR="001F645A">
        <w:rPr>
          <w:szCs w:val="24"/>
        </w:rPr>
        <w:t>were</w:t>
      </w:r>
      <w:r w:rsidR="002372F8" w:rsidRPr="00816DDD">
        <w:rPr>
          <w:szCs w:val="24"/>
        </w:rPr>
        <w:t xml:space="preserve"> USD 2.2104</w:t>
      </w:r>
      <w:r w:rsidR="002844D2" w:rsidRPr="00816DDD">
        <w:rPr>
          <w:szCs w:val="24"/>
        </w:rPr>
        <w:t xml:space="preserve"> per pound</w:t>
      </w:r>
      <w:r w:rsidR="002372F8" w:rsidRPr="00816DDD">
        <w:rPr>
          <w:szCs w:val="24"/>
        </w:rPr>
        <w:t xml:space="preserve"> on the expiry date, the </w:t>
      </w:r>
      <w:r w:rsidR="00E4351B" w:rsidRPr="00816DDD">
        <w:rPr>
          <w:szCs w:val="24"/>
        </w:rPr>
        <w:t>options contracts</w:t>
      </w:r>
      <w:r w:rsidR="002372F8" w:rsidRPr="00816DDD">
        <w:rPr>
          <w:szCs w:val="24"/>
        </w:rPr>
        <w:t xml:space="preserve"> would </w:t>
      </w:r>
      <w:r w:rsidR="00F2705E" w:rsidRPr="00816DDD">
        <w:rPr>
          <w:szCs w:val="24"/>
        </w:rPr>
        <w:t xml:space="preserve">be “in the money” and the </w:t>
      </w:r>
      <w:r w:rsidR="00F2705E" w:rsidRPr="00816DDD">
        <w:rPr>
          <w:szCs w:val="24"/>
        </w:rPr>
        <w:lastRenderedPageBreak/>
        <w:t xml:space="preserve">company would </w:t>
      </w:r>
      <w:r w:rsidR="002372F8" w:rsidRPr="00816DDD">
        <w:rPr>
          <w:szCs w:val="24"/>
        </w:rPr>
        <w:t>gain USD</w:t>
      </w:r>
      <w:r w:rsidR="002844D2" w:rsidRPr="00816DDD">
        <w:rPr>
          <w:szCs w:val="24"/>
        </w:rPr>
        <w:t xml:space="preserve"> 143,430</w:t>
      </w:r>
      <w:r w:rsidR="002372F8" w:rsidRPr="00816DDD">
        <w:rPr>
          <w:szCs w:val="24"/>
        </w:rPr>
        <w:t xml:space="preserve"> ((3.8365 – 2.2104</w:t>
      </w:r>
      <w:r w:rsidR="002844D2" w:rsidRPr="00816DDD">
        <w:rPr>
          <w:szCs w:val="24"/>
        </w:rPr>
        <w:t xml:space="preserve"> – 0.1918</w:t>
      </w:r>
      <w:r w:rsidR="002372F8" w:rsidRPr="00816DDD">
        <w:rPr>
          <w:szCs w:val="24"/>
        </w:rPr>
        <w:t>) x 25,000 x 4)</w:t>
      </w:r>
      <w:r w:rsidR="002844D2" w:rsidRPr="00816DDD">
        <w:rPr>
          <w:szCs w:val="24"/>
        </w:rPr>
        <w:t xml:space="preserve"> </w:t>
      </w:r>
      <w:r w:rsidR="002372F8" w:rsidRPr="00816DDD">
        <w:rPr>
          <w:szCs w:val="24"/>
        </w:rPr>
        <w:t>when the position is closed</w:t>
      </w:r>
      <w:r w:rsidR="002844D2" w:rsidRPr="00816DDD">
        <w:rPr>
          <w:szCs w:val="24"/>
        </w:rPr>
        <w:t>.</w:t>
      </w:r>
      <w:r w:rsidR="002372F8" w:rsidRPr="00816DDD">
        <w:rPr>
          <w:szCs w:val="24"/>
        </w:rPr>
        <w:t xml:space="preserve"> </w:t>
      </w:r>
      <w:r w:rsidR="002844D2" w:rsidRPr="00816DDD">
        <w:rPr>
          <w:szCs w:val="24"/>
        </w:rPr>
        <w:t xml:space="preserve">This approximately </w:t>
      </w:r>
      <w:r w:rsidR="002372F8" w:rsidRPr="00816DDD">
        <w:rPr>
          <w:szCs w:val="24"/>
        </w:rPr>
        <w:t>cover</w:t>
      </w:r>
      <w:r w:rsidR="00F2705E" w:rsidRPr="00816DDD">
        <w:rPr>
          <w:szCs w:val="24"/>
        </w:rPr>
        <w:t>s</w:t>
      </w:r>
      <w:r w:rsidR="002372F8" w:rsidRPr="00816DDD">
        <w:rPr>
          <w:szCs w:val="24"/>
        </w:rPr>
        <w:t xml:space="preserve"> its losses of USD</w:t>
      </w:r>
      <w:r w:rsidR="00F2705E" w:rsidRPr="00816DDD">
        <w:rPr>
          <w:szCs w:val="24"/>
        </w:rPr>
        <w:t xml:space="preserve"> 162,610 </w:t>
      </w:r>
      <w:r w:rsidR="002372F8" w:rsidRPr="00816DDD">
        <w:rPr>
          <w:szCs w:val="24"/>
        </w:rPr>
        <w:t xml:space="preserve">((2.2104 – 3.8365) x 25,000 x 4) from holding the </w:t>
      </w:r>
      <w:r w:rsidR="0054636D" w:rsidRPr="00816DDD">
        <w:rPr>
          <w:szCs w:val="24"/>
        </w:rPr>
        <w:t xml:space="preserve">copper </w:t>
      </w:r>
      <w:r w:rsidR="002372F8" w:rsidRPr="00816DDD">
        <w:rPr>
          <w:szCs w:val="24"/>
        </w:rPr>
        <w:t xml:space="preserve">and later selling </w:t>
      </w:r>
      <w:r w:rsidR="0054636D" w:rsidRPr="00816DDD">
        <w:rPr>
          <w:szCs w:val="24"/>
        </w:rPr>
        <w:t xml:space="preserve">it </w:t>
      </w:r>
      <w:r w:rsidR="002372F8" w:rsidRPr="00816DDD">
        <w:rPr>
          <w:szCs w:val="24"/>
        </w:rPr>
        <w:t>at a lower spot price in the cash market.</w:t>
      </w:r>
      <w:r w:rsidR="00F2705E" w:rsidRPr="00816DDD">
        <w:rPr>
          <w:szCs w:val="24"/>
        </w:rPr>
        <w:t xml:space="preserve">  The difference is due to the premium costs of USD 19,180 (0.1918 x 25,000 x 4).  What i</w:t>
      </w:r>
      <w:r w:rsidR="00E4351B" w:rsidRPr="00816DDD">
        <w:rPr>
          <w:szCs w:val="24"/>
        </w:rPr>
        <w:t>f</w:t>
      </w:r>
      <w:r w:rsidR="00F2705E" w:rsidRPr="00816DDD">
        <w:rPr>
          <w:szCs w:val="24"/>
        </w:rPr>
        <w:t xml:space="preserve"> the price rose to a spot price of USD 4.</w:t>
      </w:r>
      <w:r w:rsidR="00E4351B" w:rsidRPr="00816DDD">
        <w:rPr>
          <w:szCs w:val="24"/>
        </w:rPr>
        <w:t>9</w:t>
      </w:r>
      <w:r w:rsidR="00F2705E" w:rsidRPr="00816DDD">
        <w:rPr>
          <w:szCs w:val="24"/>
        </w:rPr>
        <w:t>256</w:t>
      </w:r>
      <w:r w:rsidR="008C2EFA" w:rsidRPr="00816DDD">
        <w:rPr>
          <w:szCs w:val="24"/>
        </w:rPr>
        <w:t xml:space="preserve"> per pound</w:t>
      </w:r>
      <w:r w:rsidR="00F2705E" w:rsidRPr="00816DDD">
        <w:rPr>
          <w:szCs w:val="24"/>
        </w:rPr>
        <w:t>?  The options contracts would be “out of the money</w:t>
      </w:r>
      <w:r w:rsidR="00D235B9">
        <w:rPr>
          <w:szCs w:val="24"/>
        </w:rPr>
        <w:t>,</w:t>
      </w:r>
      <w:r w:rsidR="00F2705E" w:rsidRPr="00816DDD">
        <w:rPr>
          <w:szCs w:val="24"/>
        </w:rPr>
        <w:t>” so they would not be exercise</w:t>
      </w:r>
      <w:r w:rsidR="00E4351B" w:rsidRPr="00816DDD">
        <w:rPr>
          <w:szCs w:val="24"/>
        </w:rPr>
        <w:t>d</w:t>
      </w:r>
      <w:r w:rsidR="00F2705E" w:rsidRPr="00816DDD">
        <w:rPr>
          <w:szCs w:val="24"/>
        </w:rPr>
        <w:t>, and the company would gain USD</w:t>
      </w:r>
      <w:r w:rsidR="00E4351B" w:rsidRPr="00816DDD">
        <w:rPr>
          <w:szCs w:val="24"/>
        </w:rPr>
        <w:t xml:space="preserve"> 89,730 </w:t>
      </w:r>
      <w:r w:rsidR="00F2705E" w:rsidRPr="00816DDD">
        <w:rPr>
          <w:szCs w:val="24"/>
        </w:rPr>
        <w:t>((4.</w:t>
      </w:r>
      <w:r w:rsidR="00E4351B" w:rsidRPr="00816DDD">
        <w:rPr>
          <w:szCs w:val="24"/>
        </w:rPr>
        <w:t>9</w:t>
      </w:r>
      <w:r w:rsidR="00F2705E" w:rsidRPr="00816DDD">
        <w:rPr>
          <w:szCs w:val="24"/>
        </w:rPr>
        <w:t>256 – 3.8365 – 0.1918) x 25,000 x 4) when it sells the copper at a higher spot price on the cash market.  This includes the premium costs.</w:t>
      </w:r>
    </w:p>
    <w:p w14:paraId="73281B9A" w14:textId="77777777" w:rsidR="00BF6F8D" w:rsidRPr="00816DDD" w:rsidRDefault="00BF6F8D" w:rsidP="00A23BCC">
      <w:pPr>
        <w:spacing w:after="0" w:line="240" w:lineRule="auto"/>
        <w:rPr>
          <w:szCs w:val="24"/>
        </w:rPr>
      </w:pPr>
    </w:p>
    <w:p w14:paraId="25F96CBE" w14:textId="7CF98582" w:rsidR="00EF03D2" w:rsidRPr="00816DDD" w:rsidRDefault="00BF6F8D" w:rsidP="001A5CB6">
      <w:pPr>
        <w:spacing w:after="0" w:line="240" w:lineRule="auto"/>
        <w:rPr>
          <w:b/>
          <w:bCs/>
          <w:szCs w:val="24"/>
        </w:rPr>
      </w:pPr>
      <w:proofErr w:type="gramStart"/>
      <w:r w:rsidRPr="00816DDD">
        <w:rPr>
          <w:szCs w:val="24"/>
        </w:rPr>
        <w:t>Option</w:t>
      </w:r>
      <w:r w:rsidR="0059678B">
        <w:rPr>
          <w:szCs w:val="24"/>
        </w:rPr>
        <w:t>s</w:t>
      </w:r>
      <w:proofErr w:type="gramEnd"/>
      <w:r w:rsidRPr="00816DDD">
        <w:rPr>
          <w:szCs w:val="24"/>
        </w:rPr>
        <w:t xml:space="preserve"> contract</w:t>
      </w:r>
      <w:r w:rsidR="008F1174" w:rsidRPr="00816DDD">
        <w:rPr>
          <w:szCs w:val="24"/>
        </w:rPr>
        <w:t xml:space="preserve">s </w:t>
      </w:r>
      <w:r w:rsidR="00FC503A" w:rsidRPr="00816DDD">
        <w:rPr>
          <w:szCs w:val="24"/>
        </w:rPr>
        <w:t xml:space="preserve">are </w:t>
      </w:r>
      <w:r w:rsidR="008F1174" w:rsidRPr="00816DDD">
        <w:rPr>
          <w:szCs w:val="24"/>
        </w:rPr>
        <w:t>trade</w:t>
      </w:r>
      <w:r w:rsidR="00E838DB" w:rsidRPr="00816DDD">
        <w:rPr>
          <w:szCs w:val="24"/>
        </w:rPr>
        <w:t>d</w:t>
      </w:r>
      <w:r w:rsidR="008F1174" w:rsidRPr="00816DDD">
        <w:rPr>
          <w:szCs w:val="24"/>
        </w:rPr>
        <w:t xml:space="preserve"> over the counter or through organized </w:t>
      </w:r>
      <w:r w:rsidR="00561271" w:rsidRPr="00816DDD">
        <w:rPr>
          <w:szCs w:val="24"/>
        </w:rPr>
        <w:t>exchanges</w:t>
      </w:r>
      <w:r w:rsidR="00D235B9">
        <w:rPr>
          <w:szCs w:val="24"/>
        </w:rPr>
        <w:t>,</w:t>
      </w:r>
      <w:r w:rsidR="00A84B02" w:rsidRPr="00816DDD">
        <w:rPr>
          <w:szCs w:val="24"/>
        </w:rPr>
        <w:t xml:space="preserve"> </w:t>
      </w:r>
      <w:r w:rsidR="00880FEA" w:rsidRPr="00816DDD">
        <w:rPr>
          <w:szCs w:val="24"/>
        </w:rPr>
        <w:t>like forwards and futures</w:t>
      </w:r>
      <w:r w:rsidR="00203184" w:rsidRPr="00816DDD">
        <w:rPr>
          <w:szCs w:val="24"/>
        </w:rPr>
        <w:t xml:space="preserve">.  </w:t>
      </w:r>
      <w:r w:rsidR="008F7037">
        <w:rPr>
          <w:szCs w:val="24"/>
        </w:rPr>
        <w:t>Over-the-counter</w:t>
      </w:r>
      <w:r w:rsidR="0054636D" w:rsidRPr="00816DDD">
        <w:rPr>
          <w:szCs w:val="24"/>
        </w:rPr>
        <w:t xml:space="preserve"> options</w:t>
      </w:r>
      <w:r w:rsidR="00203184" w:rsidRPr="00816DDD">
        <w:rPr>
          <w:szCs w:val="24"/>
        </w:rPr>
        <w:t xml:space="preserve"> or dealer options</w:t>
      </w:r>
      <w:r w:rsidR="00846656" w:rsidRPr="00816DDD">
        <w:rPr>
          <w:szCs w:val="24"/>
        </w:rPr>
        <w:t xml:space="preserve"> </w:t>
      </w:r>
      <w:r w:rsidR="000E7EAD" w:rsidRPr="00816DDD">
        <w:rPr>
          <w:szCs w:val="24"/>
        </w:rPr>
        <w:t xml:space="preserve">trade </w:t>
      </w:r>
      <w:r w:rsidR="00846656" w:rsidRPr="00816DDD">
        <w:rPr>
          <w:szCs w:val="24"/>
        </w:rPr>
        <w:t>between tw</w:t>
      </w:r>
      <w:r w:rsidR="00097ED8" w:rsidRPr="00816DDD">
        <w:rPr>
          <w:szCs w:val="24"/>
        </w:rPr>
        <w:t>o</w:t>
      </w:r>
      <w:r w:rsidR="00846656" w:rsidRPr="00816DDD">
        <w:rPr>
          <w:szCs w:val="24"/>
        </w:rPr>
        <w:t xml:space="preserve"> private parties</w:t>
      </w:r>
      <w:r w:rsidR="00D235B9">
        <w:rPr>
          <w:szCs w:val="24"/>
        </w:rPr>
        <w:t>,</w:t>
      </w:r>
      <w:r w:rsidR="00FC503A" w:rsidRPr="00816DDD">
        <w:rPr>
          <w:szCs w:val="24"/>
        </w:rPr>
        <w:t xml:space="preserve"> so they can be </w:t>
      </w:r>
      <w:r w:rsidR="00846656" w:rsidRPr="00816DDD">
        <w:rPr>
          <w:szCs w:val="24"/>
        </w:rPr>
        <w:t>customize</w:t>
      </w:r>
      <w:r w:rsidR="000E7EAD" w:rsidRPr="00816DDD">
        <w:rPr>
          <w:szCs w:val="24"/>
        </w:rPr>
        <w:t>d</w:t>
      </w:r>
      <w:r w:rsidR="00846656" w:rsidRPr="00816DDD">
        <w:rPr>
          <w:szCs w:val="24"/>
        </w:rPr>
        <w:t xml:space="preserve"> to </w:t>
      </w:r>
      <w:r w:rsidR="00097ED8" w:rsidRPr="00816DDD">
        <w:rPr>
          <w:szCs w:val="24"/>
        </w:rPr>
        <w:t>suit</w:t>
      </w:r>
      <w:r w:rsidR="00846656" w:rsidRPr="00816DDD">
        <w:rPr>
          <w:szCs w:val="24"/>
        </w:rPr>
        <w:t xml:space="preserve"> th</w:t>
      </w:r>
      <w:r w:rsidR="00097ED8" w:rsidRPr="00816DDD">
        <w:rPr>
          <w:szCs w:val="24"/>
        </w:rPr>
        <w:t xml:space="preserve">eir specific </w:t>
      </w:r>
      <w:r w:rsidR="00846656" w:rsidRPr="00816DDD">
        <w:rPr>
          <w:szCs w:val="24"/>
        </w:rPr>
        <w:t xml:space="preserve">needs.  </w:t>
      </w:r>
      <w:r w:rsidR="00097ED8" w:rsidRPr="00816DDD">
        <w:rPr>
          <w:szCs w:val="24"/>
        </w:rPr>
        <w:t xml:space="preserve">There is no </w:t>
      </w:r>
      <w:r w:rsidR="00D235B9">
        <w:rPr>
          <w:szCs w:val="24"/>
        </w:rPr>
        <w:t>market-to-market</w:t>
      </w:r>
      <w:r w:rsidR="009D1D1F" w:rsidRPr="00816DDD">
        <w:rPr>
          <w:szCs w:val="24"/>
        </w:rPr>
        <w:t xml:space="preserve"> for </w:t>
      </w:r>
      <w:r w:rsidR="00C6544F" w:rsidRPr="00816DDD">
        <w:rPr>
          <w:szCs w:val="24"/>
        </w:rPr>
        <w:t>over-the-counter</w:t>
      </w:r>
      <w:r w:rsidR="002372F8" w:rsidRPr="00816DDD">
        <w:rPr>
          <w:szCs w:val="24"/>
        </w:rPr>
        <w:t xml:space="preserve"> </w:t>
      </w:r>
      <w:r w:rsidR="009D1D1F" w:rsidRPr="00816DDD">
        <w:rPr>
          <w:szCs w:val="24"/>
        </w:rPr>
        <w:t>options</w:t>
      </w:r>
      <w:r w:rsidR="00097ED8" w:rsidRPr="00816DDD">
        <w:rPr>
          <w:szCs w:val="24"/>
        </w:rPr>
        <w:t xml:space="preserve">, but </w:t>
      </w:r>
      <w:r w:rsidR="00880FEA" w:rsidRPr="00816DDD">
        <w:rPr>
          <w:szCs w:val="24"/>
        </w:rPr>
        <w:t xml:space="preserve">the parties </w:t>
      </w:r>
      <w:r w:rsidR="009D1D1F" w:rsidRPr="00816DDD">
        <w:rPr>
          <w:szCs w:val="24"/>
        </w:rPr>
        <w:t xml:space="preserve">are often </w:t>
      </w:r>
      <w:r w:rsidR="00FC503A" w:rsidRPr="00816DDD">
        <w:rPr>
          <w:szCs w:val="24"/>
        </w:rPr>
        <w:t xml:space="preserve">required to deposit </w:t>
      </w:r>
      <w:r w:rsidR="00097ED8" w:rsidRPr="00816DDD">
        <w:rPr>
          <w:szCs w:val="24"/>
        </w:rPr>
        <w:t>c</w:t>
      </w:r>
      <w:r w:rsidR="00846656" w:rsidRPr="00816DDD">
        <w:rPr>
          <w:szCs w:val="24"/>
        </w:rPr>
        <w:t>ollateral</w:t>
      </w:r>
      <w:r w:rsidR="00880FEA" w:rsidRPr="00816DDD">
        <w:rPr>
          <w:szCs w:val="24"/>
        </w:rPr>
        <w:t xml:space="preserve"> </w:t>
      </w:r>
      <w:r w:rsidR="00846656" w:rsidRPr="00816DDD">
        <w:rPr>
          <w:szCs w:val="24"/>
        </w:rPr>
        <w:t>to</w:t>
      </w:r>
      <w:r w:rsidR="00880FEA" w:rsidRPr="00816DDD">
        <w:rPr>
          <w:szCs w:val="24"/>
        </w:rPr>
        <w:t xml:space="preserve"> reduce</w:t>
      </w:r>
      <w:r w:rsidR="00846656" w:rsidRPr="00816DDD">
        <w:rPr>
          <w:szCs w:val="24"/>
        </w:rPr>
        <w:t xml:space="preserve"> default risk.</w:t>
      </w:r>
      <w:r w:rsidR="00097ED8" w:rsidRPr="00816DDD">
        <w:rPr>
          <w:szCs w:val="24"/>
        </w:rPr>
        <w:t xml:space="preserve">  Exchange-traded options trade alongside futures on combined futures-options exchanges. The</w:t>
      </w:r>
      <w:r w:rsidR="00880FEA" w:rsidRPr="00816DDD">
        <w:rPr>
          <w:szCs w:val="24"/>
        </w:rPr>
        <w:t>se</w:t>
      </w:r>
      <w:r w:rsidR="00A97936" w:rsidRPr="00816DDD">
        <w:rPr>
          <w:szCs w:val="24"/>
        </w:rPr>
        <w:t xml:space="preserve"> option</w:t>
      </w:r>
      <w:r w:rsidR="000E7EAD" w:rsidRPr="00816DDD">
        <w:rPr>
          <w:szCs w:val="24"/>
        </w:rPr>
        <w:t>s</w:t>
      </w:r>
      <w:r w:rsidR="00097ED8" w:rsidRPr="00816DDD">
        <w:rPr>
          <w:szCs w:val="24"/>
        </w:rPr>
        <w:t xml:space="preserve"> contracts are standardized, and </w:t>
      </w:r>
      <w:r w:rsidR="00A84B02" w:rsidRPr="00816DDD">
        <w:rPr>
          <w:szCs w:val="24"/>
        </w:rPr>
        <w:t xml:space="preserve">real-time </w:t>
      </w:r>
      <w:r w:rsidR="00097ED8" w:rsidRPr="00816DDD">
        <w:rPr>
          <w:szCs w:val="24"/>
        </w:rPr>
        <w:t>price data is</w:t>
      </w:r>
      <w:r w:rsidR="00561A0C" w:rsidRPr="00816DDD">
        <w:rPr>
          <w:szCs w:val="24"/>
        </w:rPr>
        <w:t xml:space="preserve"> </w:t>
      </w:r>
      <w:r w:rsidR="00A84B02" w:rsidRPr="00816DDD">
        <w:rPr>
          <w:szCs w:val="24"/>
        </w:rPr>
        <w:t>available</w:t>
      </w:r>
      <w:r w:rsidR="00561A0C" w:rsidRPr="00816DDD">
        <w:rPr>
          <w:szCs w:val="24"/>
        </w:rPr>
        <w:t xml:space="preserve">.  The exchange designs the contracts and assumes both sides of </w:t>
      </w:r>
      <w:r w:rsidR="00880FEA" w:rsidRPr="00816DDD">
        <w:rPr>
          <w:szCs w:val="24"/>
        </w:rPr>
        <w:t>any</w:t>
      </w:r>
      <w:r w:rsidR="00561A0C" w:rsidRPr="00816DDD">
        <w:rPr>
          <w:szCs w:val="24"/>
        </w:rPr>
        <w:t xml:space="preserve"> transaction</w:t>
      </w:r>
      <w:r w:rsidR="00880FEA" w:rsidRPr="00816DDD">
        <w:rPr>
          <w:szCs w:val="24"/>
        </w:rPr>
        <w:t>s</w:t>
      </w:r>
      <w:r w:rsidR="00561A0C" w:rsidRPr="00816DDD">
        <w:rPr>
          <w:szCs w:val="24"/>
        </w:rPr>
        <w:t xml:space="preserve"> through its central clearinghouse</w:t>
      </w:r>
      <w:r w:rsidR="00BC788A" w:rsidRPr="00816DDD">
        <w:rPr>
          <w:szCs w:val="24"/>
        </w:rPr>
        <w:t xml:space="preserve"> to ensure fulfillment.</w:t>
      </w:r>
      <w:r w:rsidR="00232BDB" w:rsidRPr="00816DDD">
        <w:rPr>
          <w:szCs w:val="24"/>
        </w:rPr>
        <w:t xml:space="preserve">  </w:t>
      </w:r>
      <w:r w:rsidR="00FC503A" w:rsidRPr="00816DDD">
        <w:rPr>
          <w:szCs w:val="24"/>
        </w:rPr>
        <w:t>The c</w:t>
      </w:r>
      <w:r w:rsidR="00554DC8" w:rsidRPr="00816DDD">
        <w:rPr>
          <w:szCs w:val="24"/>
        </w:rPr>
        <w:t>ontract holder</w:t>
      </w:r>
      <w:r w:rsidR="00FC503A" w:rsidRPr="00816DDD">
        <w:rPr>
          <w:szCs w:val="24"/>
        </w:rPr>
        <w:t xml:space="preserve"> </w:t>
      </w:r>
      <w:r w:rsidR="00880FEA" w:rsidRPr="00816DDD">
        <w:rPr>
          <w:szCs w:val="24"/>
        </w:rPr>
        <w:t xml:space="preserve">only </w:t>
      </w:r>
      <w:r w:rsidR="00232BDB" w:rsidRPr="00816DDD">
        <w:rPr>
          <w:szCs w:val="24"/>
        </w:rPr>
        <w:t>pay</w:t>
      </w:r>
      <w:r w:rsidR="00FC503A" w:rsidRPr="00816DDD">
        <w:rPr>
          <w:szCs w:val="24"/>
        </w:rPr>
        <w:t>s</w:t>
      </w:r>
      <w:r w:rsidR="00232BDB" w:rsidRPr="00816DDD">
        <w:rPr>
          <w:szCs w:val="24"/>
        </w:rPr>
        <w:t xml:space="preserve"> the premium</w:t>
      </w:r>
      <w:r w:rsidR="000E7EAD" w:rsidRPr="00816DDD">
        <w:rPr>
          <w:szCs w:val="24"/>
        </w:rPr>
        <w:t xml:space="preserve"> upfront, but </w:t>
      </w:r>
      <w:r w:rsidR="00C6544F" w:rsidRPr="00816DDD">
        <w:rPr>
          <w:szCs w:val="24"/>
        </w:rPr>
        <w:t xml:space="preserve">option </w:t>
      </w:r>
      <w:r w:rsidR="00232BDB" w:rsidRPr="00816DDD">
        <w:rPr>
          <w:szCs w:val="24"/>
        </w:rPr>
        <w:t>writers</w:t>
      </w:r>
      <w:r w:rsidR="000E7EAD" w:rsidRPr="00816DDD">
        <w:rPr>
          <w:szCs w:val="24"/>
        </w:rPr>
        <w:t xml:space="preserve"> need to </w:t>
      </w:r>
      <w:r w:rsidR="00232BDB" w:rsidRPr="00816DDD">
        <w:rPr>
          <w:szCs w:val="24"/>
        </w:rPr>
        <w:t xml:space="preserve">pledge collateral </w:t>
      </w:r>
      <w:r w:rsidR="000E7EAD" w:rsidRPr="00816DDD">
        <w:rPr>
          <w:szCs w:val="24"/>
        </w:rPr>
        <w:t xml:space="preserve">that </w:t>
      </w:r>
      <w:r w:rsidR="00232BDB" w:rsidRPr="00816DDD">
        <w:rPr>
          <w:szCs w:val="24"/>
        </w:rPr>
        <w:t>var</w:t>
      </w:r>
      <w:r w:rsidR="00554DC8" w:rsidRPr="00816DDD">
        <w:rPr>
          <w:szCs w:val="24"/>
        </w:rPr>
        <w:t>ies</w:t>
      </w:r>
      <w:r w:rsidR="00232BDB" w:rsidRPr="00816DDD">
        <w:rPr>
          <w:szCs w:val="24"/>
        </w:rPr>
        <w:t xml:space="preserve"> with the riskiness of th</w:t>
      </w:r>
      <w:r w:rsidR="00643921" w:rsidRPr="00816DDD">
        <w:rPr>
          <w:szCs w:val="24"/>
        </w:rPr>
        <w:t xml:space="preserve">eir </w:t>
      </w:r>
      <w:r w:rsidR="00A97936" w:rsidRPr="00816DDD">
        <w:rPr>
          <w:szCs w:val="24"/>
        </w:rPr>
        <w:t>trading strategies</w:t>
      </w:r>
      <w:r w:rsidR="00643921" w:rsidRPr="00816DDD">
        <w:rPr>
          <w:szCs w:val="24"/>
        </w:rPr>
        <w:t xml:space="preserve">.  </w:t>
      </w:r>
    </w:p>
    <w:p w14:paraId="241F8F45" w14:textId="77777777" w:rsidR="00EF03D2" w:rsidRPr="00816DDD" w:rsidRDefault="00EF03D2" w:rsidP="001A5CB6">
      <w:pPr>
        <w:spacing w:after="0" w:line="240" w:lineRule="auto"/>
        <w:rPr>
          <w:b/>
          <w:bCs/>
          <w:szCs w:val="24"/>
        </w:rPr>
      </w:pPr>
    </w:p>
    <w:p w14:paraId="5236E7C5" w14:textId="6CCD8977" w:rsidR="006F4A32" w:rsidRPr="00816DDD" w:rsidRDefault="006F4A32" w:rsidP="001A5CB6">
      <w:pPr>
        <w:spacing w:after="0" w:line="240" w:lineRule="auto"/>
        <w:rPr>
          <w:szCs w:val="24"/>
        </w:rPr>
      </w:pPr>
      <w:r w:rsidRPr="00816DDD">
        <w:rPr>
          <w:b/>
          <w:bCs/>
          <w:szCs w:val="24"/>
        </w:rPr>
        <w:t>Hedging Using</w:t>
      </w:r>
      <w:r w:rsidR="00FE4DD3" w:rsidRPr="00816DDD">
        <w:rPr>
          <w:b/>
          <w:bCs/>
          <w:szCs w:val="24"/>
        </w:rPr>
        <w:t xml:space="preserve"> </w:t>
      </w:r>
      <w:r w:rsidR="002F5EAA" w:rsidRPr="00816DDD">
        <w:rPr>
          <w:b/>
          <w:bCs/>
          <w:szCs w:val="24"/>
        </w:rPr>
        <w:t xml:space="preserve">Backward </w:t>
      </w:r>
      <w:r w:rsidR="00FE4DD3" w:rsidRPr="00816DDD">
        <w:rPr>
          <w:b/>
          <w:bCs/>
          <w:szCs w:val="24"/>
        </w:rPr>
        <w:t xml:space="preserve">Integration, Storage, </w:t>
      </w:r>
      <w:r w:rsidR="00907046" w:rsidRPr="00816DDD">
        <w:rPr>
          <w:b/>
          <w:bCs/>
          <w:szCs w:val="24"/>
        </w:rPr>
        <w:t xml:space="preserve">and </w:t>
      </w:r>
      <w:r w:rsidR="00FE4DD3" w:rsidRPr="00816DDD">
        <w:rPr>
          <w:b/>
          <w:bCs/>
          <w:szCs w:val="24"/>
        </w:rPr>
        <w:t>Long-term Contracts</w:t>
      </w:r>
      <w:r w:rsidR="00907046" w:rsidRPr="00816DDD">
        <w:rPr>
          <w:b/>
          <w:bCs/>
          <w:szCs w:val="24"/>
        </w:rPr>
        <w:t xml:space="preserve"> </w:t>
      </w:r>
    </w:p>
    <w:p w14:paraId="76EBB95E" w14:textId="77777777" w:rsidR="0067668F" w:rsidRPr="00816DDD" w:rsidRDefault="0067668F" w:rsidP="0083515C">
      <w:pPr>
        <w:spacing w:after="0" w:line="240" w:lineRule="auto"/>
        <w:ind w:right="-216"/>
        <w:rPr>
          <w:szCs w:val="24"/>
        </w:rPr>
      </w:pPr>
    </w:p>
    <w:p w14:paraId="03A90648" w14:textId="444AA878" w:rsidR="002B1913" w:rsidRPr="00816DDD" w:rsidRDefault="00583E9A" w:rsidP="0083515C">
      <w:pPr>
        <w:spacing w:after="0" w:line="240" w:lineRule="auto"/>
        <w:ind w:right="-216"/>
        <w:rPr>
          <w:szCs w:val="24"/>
        </w:rPr>
      </w:pPr>
      <w:r w:rsidRPr="00816DDD">
        <w:rPr>
          <w:szCs w:val="24"/>
        </w:rPr>
        <w:t xml:space="preserve">Backward </w:t>
      </w:r>
      <w:r w:rsidR="002C46FD" w:rsidRPr="00816DDD">
        <w:rPr>
          <w:szCs w:val="24"/>
        </w:rPr>
        <w:t xml:space="preserve">integration </w:t>
      </w:r>
      <w:r w:rsidRPr="00816DDD">
        <w:rPr>
          <w:szCs w:val="24"/>
        </w:rPr>
        <w:t>is when a parent company buys one</w:t>
      </w:r>
      <w:r w:rsidR="00BC56A1" w:rsidRPr="00816DDD">
        <w:rPr>
          <w:szCs w:val="24"/>
        </w:rPr>
        <w:t xml:space="preserve"> or more</w:t>
      </w:r>
      <w:r w:rsidRPr="00816DDD">
        <w:rPr>
          <w:szCs w:val="24"/>
        </w:rPr>
        <w:t xml:space="preserve"> o</w:t>
      </w:r>
      <w:r w:rsidR="00BC56A1" w:rsidRPr="00816DDD">
        <w:rPr>
          <w:szCs w:val="24"/>
        </w:rPr>
        <w:t xml:space="preserve">f its </w:t>
      </w:r>
      <w:r w:rsidRPr="00816DDD">
        <w:rPr>
          <w:szCs w:val="24"/>
        </w:rPr>
        <w:t>suppliers</w:t>
      </w:r>
      <w:r w:rsidR="002C46FD" w:rsidRPr="00816DDD">
        <w:rPr>
          <w:szCs w:val="24"/>
        </w:rPr>
        <w:t>.  The supplier</w:t>
      </w:r>
      <w:r w:rsidR="00BC56A1" w:rsidRPr="00816DDD">
        <w:rPr>
          <w:szCs w:val="24"/>
        </w:rPr>
        <w:t xml:space="preserve"> profits</w:t>
      </w:r>
      <w:r w:rsidR="002C46FD" w:rsidRPr="00816DDD">
        <w:rPr>
          <w:szCs w:val="24"/>
        </w:rPr>
        <w:t xml:space="preserve"> if commodity prices rise, but </w:t>
      </w:r>
      <w:r w:rsidR="006551F9" w:rsidRPr="00816DDD">
        <w:rPr>
          <w:szCs w:val="24"/>
        </w:rPr>
        <w:t>this is offset by higher costs at the parent company</w:t>
      </w:r>
      <w:r w:rsidR="00D235B9">
        <w:rPr>
          <w:szCs w:val="24"/>
        </w:rPr>
        <w:t>,</w:t>
      </w:r>
      <w:r w:rsidR="00BC56A1" w:rsidRPr="00816DDD">
        <w:rPr>
          <w:szCs w:val="24"/>
        </w:rPr>
        <w:t xml:space="preserve"> </w:t>
      </w:r>
      <w:r w:rsidR="006551F9" w:rsidRPr="00816DDD">
        <w:rPr>
          <w:szCs w:val="24"/>
        </w:rPr>
        <w:t xml:space="preserve">eliminating </w:t>
      </w:r>
      <w:r w:rsidR="00F130CD" w:rsidRPr="00816DDD">
        <w:rPr>
          <w:szCs w:val="24"/>
        </w:rPr>
        <w:t xml:space="preserve">any </w:t>
      </w:r>
      <w:r w:rsidR="006551F9" w:rsidRPr="00816DDD">
        <w:rPr>
          <w:szCs w:val="24"/>
        </w:rPr>
        <w:t>commodity price risk.</w:t>
      </w:r>
      <w:r w:rsidRPr="00816DDD">
        <w:rPr>
          <w:szCs w:val="24"/>
        </w:rPr>
        <w:t xml:space="preserve"> </w:t>
      </w:r>
      <w:r w:rsidR="00BC56A1" w:rsidRPr="00816DDD">
        <w:rPr>
          <w:szCs w:val="24"/>
        </w:rPr>
        <w:t xml:space="preserve"> A</w:t>
      </w:r>
      <w:r w:rsidR="003478A8" w:rsidRPr="00816DDD">
        <w:rPr>
          <w:szCs w:val="24"/>
        </w:rPr>
        <w:t xml:space="preserve">n </w:t>
      </w:r>
      <w:r w:rsidR="00BC56A1" w:rsidRPr="00816DDD">
        <w:rPr>
          <w:szCs w:val="24"/>
        </w:rPr>
        <w:t xml:space="preserve">example of </w:t>
      </w:r>
      <w:r w:rsidR="002B1913" w:rsidRPr="00816DDD">
        <w:rPr>
          <w:szCs w:val="24"/>
        </w:rPr>
        <w:t xml:space="preserve">an </w:t>
      </w:r>
      <w:r w:rsidR="00BC56A1" w:rsidRPr="00816DDD">
        <w:rPr>
          <w:szCs w:val="24"/>
        </w:rPr>
        <w:t xml:space="preserve">integrated business </w:t>
      </w:r>
      <w:r w:rsidR="009A3ABC" w:rsidRPr="00816DDD">
        <w:rPr>
          <w:szCs w:val="24"/>
        </w:rPr>
        <w:t>is an</w:t>
      </w:r>
      <w:r w:rsidR="005C6BB9" w:rsidRPr="00816DDD">
        <w:rPr>
          <w:szCs w:val="24"/>
        </w:rPr>
        <w:t xml:space="preserve"> </w:t>
      </w:r>
      <w:r w:rsidR="00BC56A1" w:rsidRPr="00816DDD">
        <w:rPr>
          <w:szCs w:val="24"/>
        </w:rPr>
        <w:t>oil compan</w:t>
      </w:r>
      <w:r w:rsidR="009A3ABC" w:rsidRPr="00816DDD">
        <w:rPr>
          <w:szCs w:val="24"/>
        </w:rPr>
        <w:t xml:space="preserve">y </w:t>
      </w:r>
      <w:r w:rsidR="00BC56A1" w:rsidRPr="00816DDD">
        <w:rPr>
          <w:szCs w:val="24"/>
        </w:rPr>
        <w:t>that engage</w:t>
      </w:r>
      <w:r w:rsidR="009A3ABC" w:rsidRPr="00816DDD">
        <w:rPr>
          <w:szCs w:val="24"/>
        </w:rPr>
        <w:t>s</w:t>
      </w:r>
      <w:r w:rsidR="00BC56A1" w:rsidRPr="00816DDD">
        <w:rPr>
          <w:szCs w:val="24"/>
        </w:rPr>
        <w:t xml:space="preserve"> in exploration and development but also refine</w:t>
      </w:r>
      <w:r w:rsidR="009A3ABC" w:rsidRPr="00816DDD">
        <w:rPr>
          <w:szCs w:val="24"/>
        </w:rPr>
        <w:t xml:space="preserve">s its </w:t>
      </w:r>
      <w:r w:rsidR="00AC08E1" w:rsidRPr="00816DDD">
        <w:rPr>
          <w:szCs w:val="24"/>
        </w:rPr>
        <w:t xml:space="preserve">own </w:t>
      </w:r>
      <w:r w:rsidR="002B1913" w:rsidRPr="00816DDD">
        <w:rPr>
          <w:szCs w:val="24"/>
        </w:rPr>
        <w:t xml:space="preserve">crude </w:t>
      </w:r>
      <w:r w:rsidR="00BC56A1" w:rsidRPr="00816DDD">
        <w:rPr>
          <w:szCs w:val="24"/>
        </w:rPr>
        <w:t xml:space="preserve">and </w:t>
      </w:r>
      <w:r w:rsidR="00FC3291" w:rsidRPr="00816DDD">
        <w:rPr>
          <w:szCs w:val="24"/>
        </w:rPr>
        <w:t xml:space="preserve">then </w:t>
      </w:r>
      <w:r w:rsidR="003D53D5" w:rsidRPr="00816DDD">
        <w:rPr>
          <w:szCs w:val="24"/>
        </w:rPr>
        <w:t>distribute</w:t>
      </w:r>
      <w:r w:rsidR="00FC3291" w:rsidRPr="00816DDD">
        <w:rPr>
          <w:szCs w:val="24"/>
        </w:rPr>
        <w:t>s</w:t>
      </w:r>
      <w:r w:rsidR="003D53D5" w:rsidRPr="00816DDD">
        <w:rPr>
          <w:szCs w:val="24"/>
        </w:rPr>
        <w:t xml:space="preserve"> it</w:t>
      </w:r>
      <w:r w:rsidR="00BC56A1" w:rsidRPr="00816DDD">
        <w:rPr>
          <w:szCs w:val="24"/>
        </w:rPr>
        <w:t xml:space="preserve"> to customers through</w:t>
      </w:r>
      <w:r w:rsidR="003D53D5" w:rsidRPr="00816DDD">
        <w:rPr>
          <w:szCs w:val="24"/>
        </w:rPr>
        <w:t xml:space="preserve"> a </w:t>
      </w:r>
      <w:r w:rsidR="00BC56A1" w:rsidRPr="00816DDD">
        <w:rPr>
          <w:szCs w:val="24"/>
        </w:rPr>
        <w:t>chain of gasoline</w:t>
      </w:r>
      <w:r w:rsidR="003D53D5" w:rsidRPr="00816DDD">
        <w:rPr>
          <w:szCs w:val="24"/>
        </w:rPr>
        <w:t xml:space="preserve"> stations</w:t>
      </w:r>
      <w:r w:rsidR="00BC56A1" w:rsidRPr="00816DDD">
        <w:rPr>
          <w:szCs w:val="24"/>
        </w:rPr>
        <w:t xml:space="preserve"> and convenience stores.</w:t>
      </w:r>
      <w:r w:rsidR="00923B91" w:rsidRPr="00816DDD">
        <w:rPr>
          <w:szCs w:val="24"/>
        </w:rPr>
        <w:t xml:space="preserve"> </w:t>
      </w:r>
      <w:r w:rsidR="00AC08E1" w:rsidRPr="00816DDD">
        <w:rPr>
          <w:szCs w:val="24"/>
        </w:rPr>
        <w:t xml:space="preserve"> </w:t>
      </w:r>
      <w:r w:rsidR="002B1913" w:rsidRPr="00816DDD">
        <w:rPr>
          <w:szCs w:val="24"/>
        </w:rPr>
        <w:t xml:space="preserve">Previously, </w:t>
      </w:r>
      <w:r w:rsidR="00BC56A1" w:rsidRPr="00816DDD">
        <w:rPr>
          <w:szCs w:val="24"/>
        </w:rPr>
        <w:t>tire producers also owned rubber plantations</w:t>
      </w:r>
      <w:r w:rsidR="00D235B9">
        <w:rPr>
          <w:szCs w:val="24"/>
        </w:rPr>
        <w:t>,</w:t>
      </w:r>
      <w:r w:rsidR="00E71C54" w:rsidRPr="00816DDD">
        <w:rPr>
          <w:szCs w:val="24"/>
        </w:rPr>
        <w:t xml:space="preserve"> </w:t>
      </w:r>
      <w:r w:rsidR="00BC56A1" w:rsidRPr="00816DDD">
        <w:rPr>
          <w:szCs w:val="24"/>
        </w:rPr>
        <w:t xml:space="preserve">and auto manufacturers produced all </w:t>
      </w:r>
      <w:r w:rsidR="00DB17B0">
        <w:rPr>
          <w:szCs w:val="24"/>
        </w:rPr>
        <w:t xml:space="preserve">of </w:t>
      </w:r>
      <w:r w:rsidR="00BC56A1" w:rsidRPr="00816DDD">
        <w:rPr>
          <w:szCs w:val="24"/>
        </w:rPr>
        <w:t>their own parts.</w:t>
      </w:r>
      <w:r w:rsidR="005C6BB9" w:rsidRPr="00816DDD">
        <w:rPr>
          <w:szCs w:val="24"/>
        </w:rPr>
        <w:t xml:space="preserve">  </w:t>
      </w:r>
      <w:r w:rsidR="00F130CD" w:rsidRPr="00816DDD">
        <w:rPr>
          <w:szCs w:val="24"/>
        </w:rPr>
        <w:t xml:space="preserve">This hedging strategy sounds simple, but there are hidden costs.  The parent company typically pays a substantial premium when acquiring </w:t>
      </w:r>
      <w:r w:rsidR="00BC56A1" w:rsidRPr="00816DDD">
        <w:rPr>
          <w:szCs w:val="24"/>
        </w:rPr>
        <w:t>the supplier</w:t>
      </w:r>
      <w:r w:rsidR="00F130CD" w:rsidRPr="00816DDD">
        <w:rPr>
          <w:szCs w:val="24"/>
        </w:rPr>
        <w:t xml:space="preserve"> and is </w:t>
      </w:r>
      <w:r w:rsidR="00AC08E1" w:rsidRPr="00816DDD">
        <w:rPr>
          <w:szCs w:val="24"/>
        </w:rPr>
        <w:t xml:space="preserve">generally </w:t>
      </w:r>
      <w:r w:rsidRPr="00816DDD">
        <w:rPr>
          <w:szCs w:val="24"/>
        </w:rPr>
        <w:t xml:space="preserve">not </w:t>
      </w:r>
      <w:r w:rsidR="00F130CD" w:rsidRPr="00816DDD">
        <w:rPr>
          <w:szCs w:val="24"/>
        </w:rPr>
        <w:t xml:space="preserve">experienced </w:t>
      </w:r>
      <w:r w:rsidR="008F7037">
        <w:rPr>
          <w:szCs w:val="24"/>
        </w:rPr>
        <w:t xml:space="preserve">in </w:t>
      </w:r>
      <w:r w:rsidR="00F130CD" w:rsidRPr="00816DDD">
        <w:rPr>
          <w:szCs w:val="24"/>
        </w:rPr>
        <w:t xml:space="preserve">operating the </w:t>
      </w:r>
      <w:r w:rsidR="005C6BB9" w:rsidRPr="00816DDD">
        <w:rPr>
          <w:szCs w:val="24"/>
        </w:rPr>
        <w:t>business,</w:t>
      </w:r>
      <w:r w:rsidRPr="00816DDD">
        <w:rPr>
          <w:szCs w:val="24"/>
        </w:rPr>
        <w:t xml:space="preserve"> leading to inefficiencies</w:t>
      </w:r>
      <w:r w:rsidR="00F130CD" w:rsidRPr="00816DDD">
        <w:rPr>
          <w:szCs w:val="24"/>
        </w:rPr>
        <w:t>.</w:t>
      </w:r>
      <w:r w:rsidR="00BC56A1" w:rsidRPr="00816DDD">
        <w:rPr>
          <w:szCs w:val="24"/>
        </w:rPr>
        <w:t xml:space="preserve"> </w:t>
      </w:r>
      <w:r w:rsidR="005C6BB9" w:rsidRPr="00816DDD">
        <w:rPr>
          <w:szCs w:val="24"/>
        </w:rPr>
        <w:t xml:space="preserve"> </w:t>
      </w:r>
      <w:r w:rsidR="0083515C" w:rsidRPr="00816DDD">
        <w:rPr>
          <w:szCs w:val="24"/>
        </w:rPr>
        <w:t>Today</w:t>
      </w:r>
      <w:r w:rsidR="00D235B9">
        <w:rPr>
          <w:szCs w:val="24"/>
        </w:rPr>
        <w:t>,</w:t>
      </w:r>
      <w:r w:rsidR="0083515C" w:rsidRPr="00816DDD">
        <w:rPr>
          <w:szCs w:val="24"/>
        </w:rPr>
        <w:t xml:space="preserve"> c</w:t>
      </w:r>
      <w:r w:rsidR="005C6BB9" w:rsidRPr="00816DDD">
        <w:rPr>
          <w:szCs w:val="24"/>
        </w:rPr>
        <w:t>ompanies</w:t>
      </w:r>
      <w:r w:rsidR="0083515C" w:rsidRPr="00816DDD">
        <w:rPr>
          <w:szCs w:val="24"/>
        </w:rPr>
        <w:t xml:space="preserve"> are </w:t>
      </w:r>
      <w:r w:rsidR="00E71C54" w:rsidRPr="00816DDD">
        <w:rPr>
          <w:szCs w:val="24"/>
        </w:rPr>
        <w:t>focus</w:t>
      </w:r>
      <w:r w:rsidR="000565F6" w:rsidRPr="00816DDD">
        <w:rPr>
          <w:szCs w:val="24"/>
        </w:rPr>
        <w:t>ing</w:t>
      </w:r>
      <w:r w:rsidR="0083515C" w:rsidRPr="00816DDD">
        <w:rPr>
          <w:szCs w:val="24"/>
        </w:rPr>
        <w:t xml:space="preserve"> </w:t>
      </w:r>
      <w:r w:rsidR="005C6BB9" w:rsidRPr="00816DDD">
        <w:rPr>
          <w:szCs w:val="24"/>
        </w:rPr>
        <w:t xml:space="preserve">on their core business </w:t>
      </w:r>
      <w:r w:rsidR="00923B91" w:rsidRPr="00816DDD">
        <w:rPr>
          <w:szCs w:val="24"/>
        </w:rPr>
        <w:t>and</w:t>
      </w:r>
      <w:r w:rsidR="003D53D5" w:rsidRPr="00816DDD">
        <w:rPr>
          <w:szCs w:val="24"/>
        </w:rPr>
        <w:t xml:space="preserve"> </w:t>
      </w:r>
      <w:r w:rsidR="00923B91" w:rsidRPr="00816DDD">
        <w:rPr>
          <w:szCs w:val="24"/>
        </w:rPr>
        <w:t>becom</w:t>
      </w:r>
      <w:r w:rsidR="003478A8" w:rsidRPr="00816DDD">
        <w:rPr>
          <w:szCs w:val="24"/>
        </w:rPr>
        <w:t>ing</w:t>
      </w:r>
      <w:r w:rsidR="00923B91" w:rsidRPr="00816DDD">
        <w:rPr>
          <w:szCs w:val="24"/>
        </w:rPr>
        <w:t xml:space="preserve"> </w:t>
      </w:r>
      <w:r w:rsidR="005C6BB9" w:rsidRPr="00816DDD">
        <w:rPr>
          <w:szCs w:val="24"/>
        </w:rPr>
        <w:t>more flexible</w:t>
      </w:r>
      <w:r w:rsidR="00E71C54" w:rsidRPr="00816DDD">
        <w:rPr>
          <w:szCs w:val="24"/>
        </w:rPr>
        <w:t xml:space="preserve"> </w:t>
      </w:r>
      <w:r w:rsidR="0054636D" w:rsidRPr="00816DDD">
        <w:rPr>
          <w:szCs w:val="24"/>
        </w:rPr>
        <w:t>by adopting</w:t>
      </w:r>
      <w:r w:rsidR="005C6BB9" w:rsidRPr="00816DDD">
        <w:rPr>
          <w:szCs w:val="24"/>
        </w:rPr>
        <w:t xml:space="preserve"> strategies like</w:t>
      </w:r>
      <w:r w:rsidR="002B1913" w:rsidRPr="00816DDD">
        <w:rPr>
          <w:szCs w:val="24"/>
        </w:rPr>
        <w:t xml:space="preserve"> just-in-time inventory and contracting out.</w:t>
      </w:r>
      <w:r w:rsidR="00923B91" w:rsidRPr="00816DDD">
        <w:rPr>
          <w:szCs w:val="24"/>
        </w:rPr>
        <w:t xml:space="preserve">  Ma</w:t>
      </w:r>
      <w:r w:rsidR="003D53D5" w:rsidRPr="00816DDD">
        <w:rPr>
          <w:szCs w:val="24"/>
        </w:rPr>
        <w:t>n</w:t>
      </w:r>
      <w:r w:rsidR="00923B91" w:rsidRPr="00816DDD">
        <w:rPr>
          <w:szCs w:val="24"/>
        </w:rPr>
        <w:t xml:space="preserve">y integrated oil companies </w:t>
      </w:r>
      <w:r w:rsidR="0083515C" w:rsidRPr="00816DDD">
        <w:rPr>
          <w:szCs w:val="24"/>
        </w:rPr>
        <w:t xml:space="preserve">have </w:t>
      </w:r>
      <w:r w:rsidR="00923B91" w:rsidRPr="00816DDD">
        <w:rPr>
          <w:szCs w:val="24"/>
        </w:rPr>
        <w:t>divid</w:t>
      </w:r>
      <w:r w:rsidR="0083515C" w:rsidRPr="00816DDD">
        <w:rPr>
          <w:szCs w:val="24"/>
        </w:rPr>
        <w:t>ed</w:t>
      </w:r>
      <w:r w:rsidR="00923B91" w:rsidRPr="00816DDD">
        <w:rPr>
          <w:szCs w:val="24"/>
        </w:rPr>
        <w:t xml:space="preserve"> themselves into </w:t>
      </w:r>
      <w:r w:rsidR="003D53D5" w:rsidRPr="00816DDD">
        <w:rPr>
          <w:szCs w:val="24"/>
        </w:rPr>
        <w:t xml:space="preserve">separate </w:t>
      </w:r>
      <w:r w:rsidR="00923B91" w:rsidRPr="00816DDD">
        <w:rPr>
          <w:szCs w:val="24"/>
        </w:rPr>
        <w:t>production and retail units, tire companies no longer own rubber plantations, and auto companies only produce key components like engines and transmissions</w:t>
      </w:r>
      <w:r w:rsidR="003D53D5" w:rsidRPr="00816DDD">
        <w:rPr>
          <w:szCs w:val="24"/>
        </w:rPr>
        <w:t xml:space="preserve"> and </w:t>
      </w:r>
      <w:r w:rsidR="0083515C" w:rsidRPr="00816DDD">
        <w:rPr>
          <w:szCs w:val="24"/>
        </w:rPr>
        <w:t>sub-contract</w:t>
      </w:r>
      <w:r w:rsidR="003D53D5" w:rsidRPr="00816DDD">
        <w:rPr>
          <w:szCs w:val="24"/>
        </w:rPr>
        <w:t xml:space="preserve"> the rest.</w:t>
      </w:r>
    </w:p>
    <w:p w14:paraId="221AE228" w14:textId="77777777" w:rsidR="00E2162C" w:rsidRPr="00816DDD" w:rsidRDefault="00E2162C" w:rsidP="0083515C">
      <w:pPr>
        <w:spacing w:after="0" w:line="240" w:lineRule="auto"/>
        <w:ind w:right="-216"/>
        <w:rPr>
          <w:szCs w:val="24"/>
        </w:rPr>
      </w:pPr>
    </w:p>
    <w:p w14:paraId="7769C12D" w14:textId="6F29E91C" w:rsidR="00E2162C" w:rsidRPr="00816DDD" w:rsidRDefault="000D3627" w:rsidP="0083515C">
      <w:pPr>
        <w:spacing w:after="0" w:line="240" w:lineRule="auto"/>
        <w:ind w:right="-216"/>
        <w:rPr>
          <w:szCs w:val="24"/>
        </w:rPr>
      </w:pPr>
      <w:r w:rsidRPr="00816DDD">
        <w:rPr>
          <w:szCs w:val="24"/>
        </w:rPr>
        <w:t xml:space="preserve">If </w:t>
      </w:r>
      <w:r w:rsidR="00774B86" w:rsidRPr="00816DDD">
        <w:rPr>
          <w:szCs w:val="24"/>
        </w:rPr>
        <w:t xml:space="preserve">a manufacturer’s material costs </w:t>
      </w:r>
      <w:r w:rsidRPr="00816DDD">
        <w:rPr>
          <w:szCs w:val="24"/>
        </w:rPr>
        <w:t xml:space="preserve">are expected to rise, </w:t>
      </w:r>
      <w:r w:rsidR="00774B86" w:rsidRPr="00816DDD">
        <w:rPr>
          <w:szCs w:val="24"/>
        </w:rPr>
        <w:t xml:space="preserve">it </w:t>
      </w:r>
      <w:r w:rsidRPr="00816DDD">
        <w:rPr>
          <w:szCs w:val="24"/>
        </w:rPr>
        <w:t xml:space="preserve">could purchase inventory today at a lower </w:t>
      </w:r>
      <w:r w:rsidR="00AC08E1" w:rsidRPr="00816DDD">
        <w:rPr>
          <w:szCs w:val="24"/>
        </w:rPr>
        <w:t>price</w:t>
      </w:r>
      <w:r w:rsidRPr="00816DDD">
        <w:rPr>
          <w:szCs w:val="24"/>
        </w:rPr>
        <w:t xml:space="preserve"> and store it until </w:t>
      </w:r>
      <w:r w:rsidR="00774B86" w:rsidRPr="00816DDD">
        <w:rPr>
          <w:szCs w:val="24"/>
        </w:rPr>
        <w:t xml:space="preserve">it is </w:t>
      </w:r>
      <w:r w:rsidRPr="00816DDD">
        <w:rPr>
          <w:szCs w:val="24"/>
        </w:rPr>
        <w:t xml:space="preserve">needed instead of going long and buying a futures contract. </w:t>
      </w:r>
      <w:r w:rsidR="00774B86" w:rsidRPr="00816DDD">
        <w:rPr>
          <w:szCs w:val="24"/>
        </w:rPr>
        <w:t xml:space="preserve"> </w:t>
      </w:r>
      <w:r w:rsidRPr="00816DDD">
        <w:rPr>
          <w:szCs w:val="24"/>
        </w:rPr>
        <w:t xml:space="preserve">Again, this strategy seems simple, but inventory financing and storage costs </w:t>
      </w:r>
      <w:r w:rsidR="00774B86" w:rsidRPr="00816DDD">
        <w:rPr>
          <w:szCs w:val="24"/>
        </w:rPr>
        <w:t xml:space="preserve">are high and likely to </w:t>
      </w:r>
      <w:r w:rsidR="00AC08E1" w:rsidRPr="00816DDD">
        <w:rPr>
          <w:szCs w:val="24"/>
        </w:rPr>
        <w:t>consume any savings.</w:t>
      </w:r>
    </w:p>
    <w:p w14:paraId="32EC0CDC" w14:textId="77777777" w:rsidR="002F5EAA" w:rsidRPr="00816DDD" w:rsidRDefault="002F5EAA" w:rsidP="0083515C">
      <w:pPr>
        <w:spacing w:after="0" w:line="240" w:lineRule="auto"/>
        <w:ind w:right="-216"/>
        <w:rPr>
          <w:szCs w:val="24"/>
        </w:rPr>
      </w:pPr>
    </w:p>
    <w:p w14:paraId="792F243A" w14:textId="5AA080CE" w:rsidR="002F5EAA" w:rsidRPr="00816DDD" w:rsidRDefault="002F5EAA" w:rsidP="0083515C">
      <w:pPr>
        <w:spacing w:after="0" w:line="240" w:lineRule="auto"/>
        <w:ind w:right="-216"/>
        <w:rPr>
          <w:szCs w:val="24"/>
        </w:rPr>
      </w:pPr>
      <w:r w:rsidRPr="00816DDD">
        <w:rPr>
          <w:szCs w:val="24"/>
        </w:rPr>
        <w:t xml:space="preserve">A </w:t>
      </w:r>
      <w:r w:rsidR="0067668F" w:rsidRPr="00816DDD">
        <w:rPr>
          <w:szCs w:val="24"/>
        </w:rPr>
        <w:t xml:space="preserve">better </w:t>
      </w:r>
      <w:r w:rsidRPr="00816DDD">
        <w:rPr>
          <w:szCs w:val="24"/>
        </w:rPr>
        <w:t xml:space="preserve">alternative to </w:t>
      </w:r>
      <w:r w:rsidR="00F3438C" w:rsidRPr="00816DDD">
        <w:rPr>
          <w:szCs w:val="24"/>
        </w:rPr>
        <w:t xml:space="preserve">either </w:t>
      </w:r>
      <w:r w:rsidRPr="00816DDD">
        <w:rPr>
          <w:szCs w:val="24"/>
        </w:rPr>
        <w:t xml:space="preserve">backward integration </w:t>
      </w:r>
      <w:r w:rsidR="00F3438C" w:rsidRPr="00816DDD">
        <w:rPr>
          <w:szCs w:val="24"/>
        </w:rPr>
        <w:t>or</w:t>
      </w:r>
      <w:r w:rsidRPr="00816DDD">
        <w:rPr>
          <w:szCs w:val="24"/>
        </w:rPr>
        <w:t xml:space="preserve"> storage </w:t>
      </w:r>
      <w:r w:rsidR="00907046" w:rsidRPr="00816DDD">
        <w:rPr>
          <w:szCs w:val="24"/>
        </w:rPr>
        <w:t xml:space="preserve">is to negotiate </w:t>
      </w:r>
      <w:r w:rsidRPr="00816DDD">
        <w:rPr>
          <w:szCs w:val="24"/>
        </w:rPr>
        <w:t xml:space="preserve">long-term </w:t>
      </w:r>
      <w:r w:rsidR="0067668F" w:rsidRPr="00816DDD">
        <w:rPr>
          <w:szCs w:val="24"/>
        </w:rPr>
        <w:t xml:space="preserve">supply </w:t>
      </w:r>
      <w:r w:rsidRPr="00816DDD">
        <w:rPr>
          <w:szCs w:val="24"/>
        </w:rPr>
        <w:t>contra</w:t>
      </w:r>
      <w:r w:rsidR="00907046" w:rsidRPr="00816DDD">
        <w:rPr>
          <w:szCs w:val="24"/>
        </w:rPr>
        <w:t>ct</w:t>
      </w:r>
      <w:r w:rsidR="0054636D" w:rsidRPr="00816DDD">
        <w:rPr>
          <w:szCs w:val="24"/>
        </w:rPr>
        <w:t>s</w:t>
      </w:r>
      <w:r w:rsidR="00907046" w:rsidRPr="00816DDD">
        <w:rPr>
          <w:szCs w:val="24"/>
        </w:rPr>
        <w:t xml:space="preserve">.  </w:t>
      </w:r>
      <w:r w:rsidR="00F3438C" w:rsidRPr="00816DDD">
        <w:rPr>
          <w:szCs w:val="24"/>
        </w:rPr>
        <w:t>These contracts offer several advantages to both parties.  In addition to</w:t>
      </w:r>
      <w:r w:rsidR="00AE4D71" w:rsidRPr="00816DDD">
        <w:rPr>
          <w:szCs w:val="24"/>
        </w:rPr>
        <w:t xml:space="preserve"> </w:t>
      </w:r>
      <w:r w:rsidR="00F3438C" w:rsidRPr="00816DDD">
        <w:rPr>
          <w:szCs w:val="24"/>
        </w:rPr>
        <w:t>stable prices</w:t>
      </w:r>
      <w:r w:rsidR="00070CA9" w:rsidRPr="00816DDD">
        <w:rPr>
          <w:szCs w:val="24"/>
        </w:rPr>
        <w:t>, they lower ordering cost</w:t>
      </w:r>
      <w:r w:rsidR="00AE4D71" w:rsidRPr="00816DDD">
        <w:rPr>
          <w:szCs w:val="24"/>
        </w:rPr>
        <w:t xml:space="preserve">s by improving communications and reducing the number of suppliers.  They also </w:t>
      </w:r>
      <w:r w:rsidR="00070CA9" w:rsidRPr="00816DDD">
        <w:rPr>
          <w:szCs w:val="24"/>
        </w:rPr>
        <w:t>minimize supply chain disruptions</w:t>
      </w:r>
      <w:r w:rsidR="00AE4D71" w:rsidRPr="00816DDD">
        <w:rPr>
          <w:szCs w:val="24"/>
        </w:rPr>
        <w:t xml:space="preserve"> by </w:t>
      </w:r>
      <w:r w:rsidR="0054636D" w:rsidRPr="00816DDD">
        <w:rPr>
          <w:szCs w:val="24"/>
        </w:rPr>
        <w:t>guaranteeing</w:t>
      </w:r>
      <w:r w:rsidR="00AE4D71" w:rsidRPr="00816DDD">
        <w:rPr>
          <w:szCs w:val="24"/>
        </w:rPr>
        <w:t xml:space="preserve"> a secure source of supply.</w:t>
      </w:r>
      <w:r w:rsidR="00CB3A00" w:rsidRPr="00816DDD">
        <w:rPr>
          <w:szCs w:val="24"/>
        </w:rPr>
        <w:t xml:space="preserve">  Commodity futures and options offer </w:t>
      </w:r>
      <w:r w:rsidR="003478A8" w:rsidRPr="00816DDD">
        <w:rPr>
          <w:szCs w:val="24"/>
        </w:rPr>
        <w:t xml:space="preserve">similar </w:t>
      </w:r>
      <w:r w:rsidR="00CB3A00" w:rsidRPr="00816DDD">
        <w:rPr>
          <w:szCs w:val="24"/>
        </w:rPr>
        <w:t xml:space="preserve">benefits as long-term supply </w:t>
      </w:r>
      <w:r w:rsidR="009076E8" w:rsidRPr="00816DDD">
        <w:rPr>
          <w:szCs w:val="24"/>
        </w:rPr>
        <w:t>contracts,</w:t>
      </w:r>
      <w:r w:rsidR="00CB3A00" w:rsidRPr="00816DDD">
        <w:rPr>
          <w:szCs w:val="24"/>
        </w:rPr>
        <w:t xml:space="preserve"> assuming an appropriate contract can be found.</w:t>
      </w:r>
      <w:r w:rsidR="0054636D" w:rsidRPr="00816DDD">
        <w:rPr>
          <w:szCs w:val="24"/>
        </w:rPr>
        <w:t xml:space="preserve">  The use of commodity swaps is growing in importance.</w:t>
      </w:r>
    </w:p>
    <w:p w14:paraId="2B0BD72E" w14:textId="6615784B" w:rsidR="00583E9A" w:rsidRPr="00816DDD" w:rsidRDefault="00583E9A" w:rsidP="000E660D">
      <w:pPr>
        <w:spacing w:after="0" w:line="240" w:lineRule="auto"/>
        <w:rPr>
          <w:b/>
          <w:bCs/>
          <w:szCs w:val="24"/>
        </w:rPr>
      </w:pPr>
    </w:p>
    <w:sectPr w:rsidR="00583E9A" w:rsidRPr="00816DDD" w:rsidSect="000B6E1B">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BBCF" w14:textId="77777777" w:rsidR="003465EF" w:rsidRDefault="003465EF">
      <w:pPr>
        <w:spacing w:after="0" w:line="240" w:lineRule="auto"/>
      </w:pPr>
      <w:r>
        <w:separator/>
      </w:r>
    </w:p>
  </w:endnote>
  <w:endnote w:type="continuationSeparator" w:id="0">
    <w:p w14:paraId="470DDBAA" w14:textId="77777777" w:rsidR="003465EF" w:rsidRDefault="0034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B916" w14:textId="77777777" w:rsidR="00B859CC" w:rsidRDefault="00B859CC" w:rsidP="00567210">
    <w:pPr>
      <w:pStyle w:val="Footer"/>
      <w:pBdr>
        <w:bottom w:val="single" w:sz="4" w:space="1" w:color="auto"/>
      </w:pBdr>
    </w:pPr>
  </w:p>
  <w:p w14:paraId="729C7B0C" w14:textId="3798B853" w:rsidR="00B859CC" w:rsidRPr="00BF0807" w:rsidRDefault="00BF0807" w:rsidP="00BF0807">
    <w:pPr>
      <w:spacing w:after="0" w:line="240" w:lineRule="auto"/>
      <w:rPr>
        <w:rFonts w:eastAsia="+mn-ea"/>
        <w:kern w:val="24"/>
        <w:szCs w:val="24"/>
        <w:lang w:eastAsia="en-CA"/>
      </w:rPr>
    </w:pPr>
    <w:r w:rsidRPr="00BF0807">
      <w:rPr>
        <w:rFonts w:eastAsia="+mn-ea" w:hint="cs"/>
        <w:kern w:val="24"/>
        <w:szCs w:val="24"/>
        <w:lang w:eastAsia="en-CA"/>
      </w:rPr>
      <w:t>Hedging Financial Risk Using Derivative</w:t>
    </w:r>
    <w:r>
      <w:rPr>
        <w:rFonts w:eastAsia="+mn-ea"/>
        <w:kern w:val="24"/>
        <w:szCs w:val="24"/>
        <w:lang w:eastAsia="en-CA"/>
      </w:rPr>
      <w:t xml:space="preserve">s                                                                             </w:t>
    </w:r>
    <w:r w:rsidR="00B859CC" w:rsidRPr="00CB6808">
      <w:rPr>
        <w:rFonts w:hint="cs"/>
        <w:szCs w:val="24"/>
      </w:rPr>
      <w:t xml:space="preserve">Page </w:t>
    </w:r>
    <w:r w:rsidR="00B859CC" w:rsidRPr="00CB6808">
      <w:rPr>
        <w:rFonts w:hint="cs"/>
        <w:szCs w:val="24"/>
      </w:rPr>
      <w:fldChar w:fldCharType="begin"/>
    </w:r>
    <w:r w:rsidR="00B859CC" w:rsidRPr="00CB6808">
      <w:rPr>
        <w:rFonts w:hint="cs"/>
        <w:szCs w:val="24"/>
      </w:rPr>
      <w:instrText xml:space="preserve"> PAGE   \* MERGEFORMAT </w:instrText>
    </w:r>
    <w:r w:rsidR="00B859CC" w:rsidRPr="00CB6808">
      <w:rPr>
        <w:rFonts w:hint="cs"/>
        <w:szCs w:val="24"/>
      </w:rPr>
      <w:fldChar w:fldCharType="separate"/>
    </w:r>
    <w:r w:rsidR="00B859CC" w:rsidRPr="00CB6808">
      <w:rPr>
        <w:rFonts w:hint="cs"/>
        <w:noProof/>
        <w:szCs w:val="24"/>
      </w:rPr>
      <w:t>1</w:t>
    </w:r>
    <w:r w:rsidR="00B859CC" w:rsidRPr="00CB6808">
      <w:rPr>
        <w:rFonts w:hint="cs"/>
        <w:noProof/>
        <w:szCs w:val="24"/>
      </w:rPr>
      <w:fldChar w:fldCharType="end"/>
    </w:r>
  </w:p>
  <w:p w14:paraId="78297770" w14:textId="77777777" w:rsidR="00B859CC" w:rsidRDefault="00B8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0678" w14:textId="77777777" w:rsidR="003465EF" w:rsidRDefault="003465EF">
      <w:pPr>
        <w:spacing w:after="0" w:line="240" w:lineRule="auto"/>
      </w:pPr>
      <w:r>
        <w:separator/>
      </w:r>
    </w:p>
  </w:footnote>
  <w:footnote w:type="continuationSeparator" w:id="0">
    <w:p w14:paraId="2833E51F" w14:textId="77777777" w:rsidR="003465EF" w:rsidRDefault="00346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01E1DE8"/>
    <w:multiLevelType w:val="hybridMultilevel"/>
    <w:tmpl w:val="0242E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569F3"/>
    <w:multiLevelType w:val="hybridMultilevel"/>
    <w:tmpl w:val="A194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C0ECF"/>
    <w:multiLevelType w:val="multilevel"/>
    <w:tmpl w:val="7E1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0AC5"/>
    <w:multiLevelType w:val="hybridMultilevel"/>
    <w:tmpl w:val="26C0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4090E"/>
    <w:multiLevelType w:val="hybridMultilevel"/>
    <w:tmpl w:val="370C5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66FA"/>
    <w:multiLevelType w:val="hybridMultilevel"/>
    <w:tmpl w:val="B1C2F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071807"/>
    <w:multiLevelType w:val="hybridMultilevel"/>
    <w:tmpl w:val="01D8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679"/>
    <w:multiLevelType w:val="hybridMultilevel"/>
    <w:tmpl w:val="E814C4F2"/>
    <w:lvl w:ilvl="0" w:tplc="B87C0D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E6A8B"/>
    <w:multiLevelType w:val="multilevel"/>
    <w:tmpl w:val="4038289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F4E6F"/>
    <w:multiLevelType w:val="multilevel"/>
    <w:tmpl w:val="965A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94216"/>
    <w:multiLevelType w:val="hybridMultilevel"/>
    <w:tmpl w:val="01F4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75483"/>
    <w:multiLevelType w:val="multilevel"/>
    <w:tmpl w:val="0086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38232D"/>
    <w:multiLevelType w:val="hybridMultilevel"/>
    <w:tmpl w:val="7FEE7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0A7C62"/>
    <w:multiLevelType w:val="multilevel"/>
    <w:tmpl w:val="20D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842A0"/>
    <w:multiLevelType w:val="hybridMultilevel"/>
    <w:tmpl w:val="7556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D6E8E"/>
    <w:multiLevelType w:val="hybridMultilevel"/>
    <w:tmpl w:val="180E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518DA"/>
    <w:multiLevelType w:val="hybridMultilevel"/>
    <w:tmpl w:val="49743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C358D2"/>
    <w:multiLevelType w:val="hybridMultilevel"/>
    <w:tmpl w:val="7C962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4A6CFB"/>
    <w:multiLevelType w:val="hybridMultilevel"/>
    <w:tmpl w:val="63C4EAE8"/>
    <w:lvl w:ilvl="0" w:tplc="E77C363A">
      <w:start w:val="1"/>
      <w:numFmt w:val="bullet"/>
      <w:lvlText w:val="•"/>
      <w:lvlJc w:val="left"/>
      <w:pPr>
        <w:tabs>
          <w:tab w:val="num" w:pos="720"/>
        </w:tabs>
        <w:ind w:left="720" w:hanging="360"/>
      </w:pPr>
      <w:rPr>
        <w:rFonts w:ascii="Arial" w:hAnsi="Arial" w:hint="default"/>
      </w:rPr>
    </w:lvl>
    <w:lvl w:ilvl="1" w:tplc="B87C0D7E">
      <w:start w:val="1"/>
      <w:numFmt w:val="bullet"/>
      <w:lvlText w:val=""/>
      <w:lvlJc w:val="left"/>
      <w:pPr>
        <w:tabs>
          <w:tab w:val="num" w:pos="1440"/>
        </w:tabs>
        <w:ind w:left="1440" w:hanging="360"/>
      </w:pPr>
      <w:rPr>
        <w:rFonts w:ascii="Symbol" w:hAnsi="Symbol" w:hint="default"/>
        <w:color w:val="auto"/>
      </w:rPr>
    </w:lvl>
    <w:lvl w:ilvl="2" w:tplc="D0D40750" w:tentative="1">
      <w:start w:val="1"/>
      <w:numFmt w:val="bullet"/>
      <w:lvlText w:val="•"/>
      <w:lvlJc w:val="left"/>
      <w:pPr>
        <w:tabs>
          <w:tab w:val="num" w:pos="2160"/>
        </w:tabs>
        <w:ind w:left="2160" w:hanging="360"/>
      </w:pPr>
      <w:rPr>
        <w:rFonts w:ascii="Arial" w:hAnsi="Arial" w:hint="default"/>
      </w:rPr>
    </w:lvl>
    <w:lvl w:ilvl="3" w:tplc="EFEA9E24" w:tentative="1">
      <w:start w:val="1"/>
      <w:numFmt w:val="bullet"/>
      <w:lvlText w:val="•"/>
      <w:lvlJc w:val="left"/>
      <w:pPr>
        <w:tabs>
          <w:tab w:val="num" w:pos="2880"/>
        </w:tabs>
        <w:ind w:left="2880" w:hanging="360"/>
      </w:pPr>
      <w:rPr>
        <w:rFonts w:ascii="Arial" w:hAnsi="Arial" w:hint="default"/>
      </w:rPr>
    </w:lvl>
    <w:lvl w:ilvl="4" w:tplc="4E3E0B1A" w:tentative="1">
      <w:start w:val="1"/>
      <w:numFmt w:val="bullet"/>
      <w:lvlText w:val="•"/>
      <w:lvlJc w:val="left"/>
      <w:pPr>
        <w:tabs>
          <w:tab w:val="num" w:pos="3600"/>
        </w:tabs>
        <w:ind w:left="3600" w:hanging="360"/>
      </w:pPr>
      <w:rPr>
        <w:rFonts w:ascii="Arial" w:hAnsi="Arial" w:hint="default"/>
      </w:rPr>
    </w:lvl>
    <w:lvl w:ilvl="5" w:tplc="2B023D36" w:tentative="1">
      <w:start w:val="1"/>
      <w:numFmt w:val="bullet"/>
      <w:lvlText w:val="•"/>
      <w:lvlJc w:val="left"/>
      <w:pPr>
        <w:tabs>
          <w:tab w:val="num" w:pos="4320"/>
        </w:tabs>
        <w:ind w:left="4320" w:hanging="360"/>
      </w:pPr>
      <w:rPr>
        <w:rFonts w:ascii="Arial" w:hAnsi="Arial" w:hint="default"/>
      </w:rPr>
    </w:lvl>
    <w:lvl w:ilvl="6" w:tplc="C928AE38" w:tentative="1">
      <w:start w:val="1"/>
      <w:numFmt w:val="bullet"/>
      <w:lvlText w:val="•"/>
      <w:lvlJc w:val="left"/>
      <w:pPr>
        <w:tabs>
          <w:tab w:val="num" w:pos="5040"/>
        </w:tabs>
        <w:ind w:left="5040" w:hanging="360"/>
      </w:pPr>
      <w:rPr>
        <w:rFonts w:ascii="Arial" w:hAnsi="Arial" w:hint="default"/>
      </w:rPr>
    </w:lvl>
    <w:lvl w:ilvl="7" w:tplc="0CDEF1A2" w:tentative="1">
      <w:start w:val="1"/>
      <w:numFmt w:val="bullet"/>
      <w:lvlText w:val="•"/>
      <w:lvlJc w:val="left"/>
      <w:pPr>
        <w:tabs>
          <w:tab w:val="num" w:pos="5760"/>
        </w:tabs>
        <w:ind w:left="5760" w:hanging="360"/>
      </w:pPr>
      <w:rPr>
        <w:rFonts w:ascii="Arial" w:hAnsi="Arial" w:hint="default"/>
      </w:rPr>
    </w:lvl>
    <w:lvl w:ilvl="8" w:tplc="7624BE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2A762A"/>
    <w:multiLevelType w:val="multilevel"/>
    <w:tmpl w:val="FCB4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9658A0"/>
    <w:multiLevelType w:val="hybridMultilevel"/>
    <w:tmpl w:val="8C9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744E"/>
    <w:multiLevelType w:val="multilevel"/>
    <w:tmpl w:val="601A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25E10"/>
    <w:multiLevelType w:val="hybridMultilevel"/>
    <w:tmpl w:val="B97A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312C0"/>
    <w:multiLevelType w:val="multilevel"/>
    <w:tmpl w:val="0F78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B162AE"/>
    <w:multiLevelType w:val="hybridMultilevel"/>
    <w:tmpl w:val="DDE4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D0336"/>
    <w:multiLevelType w:val="multilevel"/>
    <w:tmpl w:val="A852E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203D9"/>
    <w:multiLevelType w:val="multilevel"/>
    <w:tmpl w:val="A42E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387576"/>
    <w:multiLevelType w:val="hybridMultilevel"/>
    <w:tmpl w:val="E0D84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DF0792"/>
    <w:multiLevelType w:val="multilevel"/>
    <w:tmpl w:val="3842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5D69A8"/>
    <w:multiLevelType w:val="hybridMultilevel"/>
    <w:tmpl w:val="450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520FD"/>
    <w:multiLevelType w:val="multilevel"/>
    <w:tmpl w:val="771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736609"/>
    <w:multiLevelType w:val="hybridMultilevel"/>
    <w:tmpl w:val="7AA0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56626"/>
    <w:multiLevelType w:val="hybridMultilevel"/>
    <w:tmpl w:val="28FC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63A55"/>
    <w:multiLevelType w:val="multilevel"/>
    <w:tmpl w:val="1A98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EF4CFA"/>
    <w:multiLevelType w:val="hybridMultilevel"/>
    <w:tmpl w:val="C4EC2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92620A"/>
    <w:multiLevelType w:val="multilevel"/>
    <w:tmpl w:val="E6C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0887626">
    <w:abstractNumId w:val="12"/>
  </w:num>
  <w:num w:numId="2" w16cid:durableId="239944900">
    <w:abstractNumId w:val="20"/>
  </w:num>
  <w:num w:numId="3" w16cid:durableId="779379497">
    <w:abstractNumId w:val="7"/>
  </w:num>
  <w:num w:numId="4" w16cid:durableId="930625044">
    <w:abstractNumId w:val="8"/>
  </w:num>
  <w:num w:numId="5" w16cid:durableId="2026904111">
    <w:abstractNumId w:val="26"/>
  </w:num>
  <w:num w:numId="6" w16cid:durableId="579409994">
    <w:abstractNumId w:val="19"/>
  </w:num>
  <w:num w:numId="7" w16cid:durableId="337314678">
    <w:abstractNumId w:val="15"/>
  </w:num>
  <w:num w:numId="8" w16cid:durableId="64497525">
    <w:abstractNumId w:val="32"/>
  </w:num>
  <w:num w:numId="9" w16cid:durableId="1611817853">
    <w:abstractNumId w:val="9"/>
  </w:num>
  <w:num w:numId="10" w16cid:durableId="165563020">
    <w:abstractNumId w:val="16"/>
  </w:num>
  <w:num w:numId="11" w16cid:durableId="262301735">
    <w:abstractNumId w:val="10"/>
  </w:num>
  <w:num w:numId="12" w16cid:durableId="1654524212">
    <w:abstractNumId w:val="14"/>
  </w:num>
  <w:num w:numId="13" w16cid:durableId="1029644185">
    <w:abstractNumId w:val="25"/>
  </w:num>
  <w:num w:numId="14" w16cid:durableId="1732583109">
    <w:abstractNumId w:val="35"/>
  </w:num>
  <w:num w:numId="15" w16cid:durableId="588658462">
    <w:abstractNumId w:val="2"/>
  </w:num>
  <w:num w:numId="16" w16cid:durableId="789594095">
    <w:abstractNumId w:val="21"/>
  </w:num>
  <w:num w:numId="17" w16cid:durableId="45491163">
    <w:abstractNumId w:val="6"/>
  </w:num>
  <w:num w:numId="18" w16cid:durableId="1250037816">
    <w:abstractNumId w:val="5"/>
  </w:num>
  <w:num w:numId="19" w16cid:durableId="1759405246">
    <w:abstractNumId w:val="18"/>
  </w:num>
  <w:num w:numId="20" w16cid:durableId="258871858">
    <w:abstractNumId w:val="29"/>
  </w:num>
  <w:num w:numId="21" w16cid:durableId="1212962304">
    <w:abstractNumId w:val="11"/>
  </w:num>
  <w:num w:numId="22" w16cid:durableId="301813080">
    <w:abstractNumId w:val="1"/>
  </w:num>
  <w:num w:numId="23" w16cid:durableId="1719089948">
    <w:abstractNumId w:val="27"/>
  </w:num>
  <w:num w:numId="24" w16cid:durableId="1926958707">
    <w:abstractNumId w:val="31"/>
  </w:num>
  <w:num w:numId="25" w16cid:durableId="2118602905">
    <w:abstractNumId w:val="28"/>
  </w:num>
  <w:num w:numId="26" w16cid:durableId="1013996502">
    <w:abstractNumId w:val="30"/>
  </w:num>
  <w:num w:numId="27" w16cid:durableId="2068676341">
    <w:abstractNumId w:val="24"/>
  </w:num>
  <w:num w:numId="28" w16cid:durableId="1497110939">
    <w:abstractNumId w:val="4"/>
  </w:num>
  <w:num w:numId="29" w16cid:durableId="78792783">
    <w:abstractNumId w:val="34"/>
  </w:num>
  <w:num w:numId="30" w16cid:durableId="1704789395">
    <w:abstractNumId w:val="3"/>
  </w:num>
  <w:num w:numId="31" w16cid:durableId="802842573">
    <w:abstractNumId w:val="0"/>
  </w:num>
  <w:num w:numId="32" w16cid:durableId="925266032">
    <w:abstractNumId w:val="17"/>
  </w:num>
  <w:num w:numId="33" w16cid:durableId="1674991320">
    <w:abstractNumId w:val="23"/>
  </w:num>
  <w:num w:numId="34" w16cid:durableId="1990791353">
    <w:abstractNumId w:val="13"/>
  </w:num>
  <w:num w:numId="35" w16cid:durableId="561408597">
    <w:abstractNumId w:val="33"/>
  </w:num>
  <w:num w:numId="36" w16cid:durableId="14983805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E1B"/>
    <w:rsid w:val="000005E8"/>
    <w:rsid w:val="00000851"/>
    <w:rsid w:val="00000B3B"/>
    <w:rsid w:val="00000D36"/>
    <w:rsid w:val="00001200"/>
    <w:rsid w:val="00001EEF"/>
    <w:rsid w:val="00001F6F"/>
    <w:rsid w:val="00002047"/>
    <w:rsid w:val="00002234"/>
    <w:rsid w:val="00002348"/>
    <w:rsid w:val="000027FD"/>
    <w:rsid w:val="0000285B"/>
    <w:rsid w:val="00002F94"/>
    <w:rsid w:val="00003581"/>
    <w:rsid w:val="000035F9"/>
    <w:rsid w:val="000036E3"/>
    <w:rsid w:val="00003F71"/>
    <w:rsid w:val="000043DA"/>
    <w:rsid w:val="0000442D"/>
    <w:rsid w:val="000049A6"/>
    <w:rsid w:val="00004A18"/>
    <w:rsid w:val="000056EB"/>
    <w:rsid w:val="000059A9"/>
    <w:rsid w:val="000059E3"/>
    <w:rsid w:val="00005BAC"/>
    <w:rsid w:val="00005F5D"/>
    <w:rsid w:val="00007EF7"/>
    <w:rsid w:val="000102FC"/>
    <w:rsid w:val="00010C21"/>
    <w:rsid w:val="00011210"/>
    <w:rsid w:val="000115E4"/>
    <w:rsid w:val="00011938"/>
    <w:rsid w:val="00011A9C"/>
    <w:rsid w:val="00011D0C"/>
    <w:rsid w:val="00011F8C"/>
    <w:rsid w:val="000124F3"/>
    <w:rsid w:val="00012AA2"/>
    <w:rsid w:val="00012F57"/>
    <w:rsid w:val="00013309"/>
    <w:rsid w:val="00013339"/>
    <w:rsid w:val="0001339B"/>
    <w:rsid w:val="00013437"/>
    <w:rsid w:val="000140CB"/>
    <w:rsid w:val="0001419D"/>
    <w:rsid w:val="00014506"/>
    <w:rsid w:val="00014655"/>
    <w:rsid w:val="00014696"/>
    <w:rsid w:val="00015752"/>
    <w:rsid w:val="000159E0"/>
    <w:rsid w:val="0001654D"/>
    <w:rsid w:val="0001665F"/>
    <w:rsid w:val="00016871"/>
    <w:rsid w:val="00016ABA"/>
    <w:rsid w:val="00016B28"/>
    <w:rsid w:val="0001743F"/>
    <w:rsid w:val="0001788D"/>
    <w:rsid w:val="00020158"/>
    <w:rsid w:val="0002062E"/>
    <w:rsid w:val="000211B4"/>
    <w:rsid w:val="00022357"/>
    <w:rsid w:val="000229C2"/>
    <w:rsid w:val="00022D6E"/>
    <w:rsid w:val="00022FD7"/>
    <w:rsid w:val="00023A1E"/>
    <w:rsid w:val="0002408A"/>
    <w:rsid w:val="000240FE"/>
    <w:rsid w:val="00024578"/>
    <w:rsid w:val="00024AB1"/>
    <w:rsid w:val="00024B00"/>
    <w:rsid w:val="00024C28"/>
    <w:rsid w:val="00024CB5"/>
    <w:rsid w:val="00024EA2"/>
    <w:rsid w:val="00025B85"/>
    <w:rsid w:val="00025F5A"/>
    <w:rsid w:val="0002686F"/>
    <w:rsid w:val="00026F63"/>
    <w:rsid w:val="00027AA2"/>
    <w:rsid w:val="00027B51"/>
    <w:rsid w:val="00027C8C"/>
    <w:rsid w:val="000303F8"/>
    <w:rsid w:val="000313EA"/>
    <w:rsid w:val="0003187A"/>
    <w:rsid w:val="00033925"/>
    <w:rsid w:val="00033BB9"/>
    <w:rsid w:val="00033FEE"/>
    <w:rsid w:val="0003435A"/>
    <w:rsid w:val="000348CC"/>
    <w:rsid w:val="00034EFA"/>
    <w:rsid w:val="00034FB7"/>
    <w:rsid w:val="00035152"/>
    <w:rsid w:val="000352C0"/>
    <w:rsid w:val="0003550F"/>
    <w:rsid w:val="000355DB"/>
    <w:rsid w:val="00035BB8"/>
    <w:rsid w:val="000360B4"/>
    <w:rsid w:val="00036102"/>
    <w:rsid w:val="00036DB4"/>
    <w:rsid w:val="00036FC6"/>
    <w:rsid w:val="00037D55"/>
    <w:rsid w:val="00040306"/>
    <w:rsid w:val="00040B56"/>
    <w:rsid w:val="000411BB"/>
    <w:rsid w:val="00041585"/>
    <w:rsid w:val="00042014"/>
    <w:rsid w:val="00043D7A"/>
    <w:rsid w:val="0004400C"/>
    <w:rsid w:val="00044E82"/>
    <w:rsid w:val="00045A4A"/>
    <w:rsid w:val="000460B2"/>
    <w:rsid w:val="00046120"/>
    <w:rsid w:val="000466E6"/>
    <w:rsid w:val="0004787E"/>
    <w:rsid w:val="0005098D"/>
    <w:rsid w:val="000510C5"/>
    <w:rsid w:val="00051114"/>
    <w:rsid w:val="000514D5"/>
    <w:rsid w:val="00051A88"/>
    <w:rsid w:val="00051D49"/>
    <w:rsid w:val="0005222A"/>
    <w:rsid w:val="000522D8"/>
    <w:rsid w:val="00052F42"/>
    <w:rsid w:val="000538B5"/>
    <w:rsid w:val="00053F9D"/>
    <w:rsid w:val="000544C6"/>
    <w:rsid w:val="00054652"/>
    <w:rsid w:val="000549DA"/>
    <w:rsid w:val="000551EF"/>
    <w:rsid w:val="00055316"/>
    <w:rsid w:val="00055E3D"/>
    <w:rsid w:val="00055FF5"/>
    <w:rsid w:val="0005634E"/>
    <w:rsid w:val="00056569"/>
    <w:rsid w:val="000565F6"/>
    <w:rsid w:val="000569F6"/>
    <w:rsid w:val="00056CB8"/>
    <w:rsid w:val="0005718B"/>
    <w:rsid w:val="0005719A"/>
    <w:rsid w:val="000576DB"/>
    <w:rsid w:val="0005782A"/>
    <w:rsid w:val="00057FD8"/>
    <w:rsid w:val="0006166F"/>
    <w:rsid w:val="00061975"/>
    <w:rsid w:val="00062302"/>
    <w:rsid w:val="00062695"/>
    <w:rsid w:val="000638D1"/>
    <w:rsid w:val="00063D21"/>
    <w:rsid w:val="00063FA1"/>
    <w:rsid w:val="00064CC5"/>
    <w:rsid w:val="000651DF"/>
    <w:rsid w:val="0006521F"/>
    <w:rsid w:val="00065566"/>
    <w:rsid w:val="0006611F"/>
    <w:rsid w:val="0006614E"/>
    <w:rsid w:val="0006718B"/>
    <w:rsid w:val="0006790D"/>
    <w:rsid w:val="0007066B"/>
    <w:rsid w:val="00070670"/>
    <w:rsid w:val="00070B26"/>
    <w:rsid w:val="00070CA9"/>
    <w:rsid w:val="00070EB8"/>
    <w:rsid w:val="0007112B"/>
    <w:rsid w:val="0007189A"/>
    <w:rsid w:val="000722FC"/>
    <w:rsid w:val="00073210"/>
    <w:rsid w:val="000738AA"/>
    <w:rsid w:val="00073A65"/>
    <w:rsid w:val="00073CA2"/>
    <w:rsid w:val="00074AB7"/>
    <w:rsid w:val="00074B23"/>
    <w:rsid w:val="00074E8D"/>
    <w:rsid w:val="000753E8"/>
    <w:rsid w:val="00075665"/>
    <w:rsid w:val="000759DA"/>
    <w:rsid w:val="00076A3A"/>
    <w:rsid w:val="00076D42"/>
    <w:rsid w:val="000771A3"/>
    <w:rsid w:val="00077228"/>
    <w:rsid w:val="000804BB"/>
    <w:rsid w:val="000812FE"/>
    <w:rsid w:val="00081381"/>
    <w:rsid w:val="000816AB"/>
    <w:rsid w:val="00081CDC"/>
    <w:rsid w:val="000821AE"/>
    <w:rsid w:val="00082300"/>
    <w:rsid w:val="00082C48"/>
    <w:rsid w:val="00082DED"/>
    <w:rsid w:val="000837A4"/>
    <w:rsid w:val="00083E12"/>
    <w:rsid w:val="00084103"/>
    <w:rsid w:val="00084594"/>
    <w:rsid w:val="000848AD"/>
    <w:rsid w:val="00084D10"/>
    <w:rsid w:val="00084E31"/>
    <w:rsid w:val="000854F8"/>
    <w:rsid w:val="00085A29"/>
    <w:rsid w:val="00085AF8"/>
    <w:rsid w:val="00085CD8"/>
    <w:rsid w:val="00085F97"/>
    <w:rsid w:val="00086856"/>
    <w:rsid w:val="00086E39"/>
    <w:rsid w:val="00087C07"/>
    <w:rsid w:val="00087CA0"/>
    <w:rsid w:val="00087D19"/>
    <w:rsid w:val="00087F0E"/>
    <w:rsid w:val="0009011D"/>
    <w:rsid w:val="000901DE"/>
    <w:rsid w:val="000904CE"/>
    <w:rsid w:val="0009082F"/>
    <w:rsid w:val="00090CC9"/>
    <w:rsid w:val="0009140D"/>
    <w:rsid w:val="00091623"/>
    <w:rsid w:val="00091730"/>
    <w:rsid w:val="00091C3D"/>
    <w:rsid w:val="00091E00"/>
    <w:rsid w:val="00091E03"/>
    <w:rsid w:val="00091E9A"/>
    <w:rsid w:val="00092681"/>
    <w:rsid w:val="0009281F"/>
    <w:rsid w:val="00092F86"/>
    <w:rsid w:val="0009451D"/>
    <w:rsid w:val="00094B5A"/>
    <w:rsid w:val="00094E06"/>
    <w:rsid w:val="0009565F"/>
    <w:rsid w:val="000958BD"/>
    <w:rsid w:val="00095C34"/>
    <w:rsid w:val="00095D85"/>
    <w:rsid w:val="00096426"/>
    <w:rsid w:val="00096FB4"/>
    <w:rsid w:val="000972F5"/>
    <w:rsid w:val="00097542"/>
    <w:rsid w:val="00097719"/>
    <w:rsid w:val="0009785E"/>
    <w:rsid w:val="00097922"/>
    <w:rsid w:val="00097B17"/>
    <w:rsid w:val="00097ED8"/>
    <w:rsid w:val="000A0B5A"/>
    <w:rsid w:val="000A0CA7"/>
    <w:rsid w:val="000A0E25"/>
    <w:rsid w:val="000A1372"/>
    <w:rsid w:val="000A23D6"/>
    <w:rsid w:val="000A312F"/>
    <w:rsid w:val="000A321F"/>
    <w:rsid w:val="000A3382"/>
    <w:rsid w:val="000A36AC"/>
    <w:rsid w:val="000A3867"/>
    <w:rsid w:val="000A4448"/>
    <w:rsid w:val="000A5215"/>
    <w:rsid w:val="000A54E7"/>
    <w:rsid w:val="000A59DE"/>
    <w:rsid w:val="000A5A9D"/>
    <w:rsid w:val="000A5FFA"/>
    <w:rsid w:val="000A650B"/>
    <w:rsid w:val="000A6B0B"/>
    <w:rsid w:val="000A6E3E"/>
    <w:rsid w:val="000A7386"/>
    <w:rsid w:val="000B00B1"/>
    <w:rsid w:val="000B052F"/>
    <w:rsid w:val="000B0581"/>
    <w:rsid w:val="000B06EF"/>
    <w:rsid w:val="000B0F5B"/>
    <w:rsid w:val="000B104C"/>
    <w:rsid w:val="000B1152"/>
    <w:rsid w:val="000B1E2E"/>
    <w:rsid w:val="000B27E3"/>
    <w:rsid w:val="000B2D8C"/>
    <w:rsid w:val="000B2E6A"/>
    <w:rsid w:val="000B2E6E"/>
    <w:rsid w:val="000B32F8"/>
    <w:rsid w:val="000B3315"/>
    <w:rsid w:val="000B4000"/>
    <w:rsid w:val="000B442F"/>
    <w:rsid w:val="000B47D9"/>
    <w:rsid w:val="000B481F"/>
    <w:rsid w:val="000B5035"/>
    <w:rsid w:val="000B57BB"/>
    <w:rsid w:val="000B5967"/>
    <w:rsid w:val="000B59F9"/>
    <w:rsid w:val="000B5F9B"/>
    <w:rsid w:val="000B6186"/>
    <w:rsid w:val="000B6ADB"/>
    <w:rsid w:val="000B6CAB"/>
    <w:rsid w:val="000B6D9A"/>
    <w:rsid w:val="000B6E1B"/>
    <w:rsid w:val="000B7944"/>
    <w:rsid w:val="000C049A"/>
    <w:rsid w:val="000C05A7"/>
    <w:rsid w:val="000C110F"/>
    <w:rsid w:val="000C1407"/>
    <w:rsid w:val="000C1B76"/>
    <w:rsid w:val="000C2F56"/>
    <w:rsid w:val="000C311D"/>
    <w:rsid w:val="000C32C1"/>
    <w:rsid w:val="000C3C57"/>
    <w:rsid w:val="000C47C4"/>
    <w:rsid w:val="000C4CB2"/>
    <w:rsid w:val="000C4F7E"/>
    <w:rsid w:val="000C516A"/>
    <w:rsid w:val="000C54EE"/>
    <w:rsid w:val="000C5790"/>
    <w:rsid w:val="000C64CF"/>
    <w:rsid w:val="000C6506"/>
    <w:rsid w:val="000C6A06"/>
    <w:rsid w:val="000C6ADA"/>
    <w:rsid w:val="000C6CFB"/>
    <w:rsid w:val="000C735B"/>
    <w:rsid w:val="000C75FE"/>
    <w:rsid w:val="000C7FD8"/>
    <w:rsid w:val="000D0853"/>
    <w:rsid w:val="000D0B7E"/>
    <w:rsid w:val="000D107D"/>
    <w:rsid w:val="000D1393"/>
    <w:rsid w:val="000D15C6"/>
    <w:rsid w:val="000D15F8"/>
    <w:rsid w:val="000D19F4"/>
    <w:rsid w:val="000D1A2C"/>
    <w:rsid w:val="000D1F24"/>
    <w:rsid w:val="000D2A40"/>
    <w:rsid w:val="000D30EA"/>
    <w:rsid w:val="000D322D"/>
    <w:rsid w:val="000D3627"/>
    <w:rsid w:val="000D4235"/>
    <w:rsid w:val="000D463C"/>
    <w:rsid w:val="000D477A"/>
    <w:rsid w:val="000D4891"/>
    <w:rsid w:val="000D4F05"/>
    <w:rsid w:val="000D5396"/>
    <w:rsid w:val="000D58F1"/>
    <w:rsid w:val="000D58F3"/>
    <w:rsid w:val="000D5E04"/>
    <w:rsid w:val="000D5FDD"/>
    <w:rsid w:val="000D61EA"/>
    <w:rsid w:val="000D63CF"/>
    <w:rsid w:val="000D6772"/>
    <w:rsid w:val="000D6B60"/>
    <w:rsid w:val="000D706B"/>
    <w:rsid w:val="000D7E89"/>
    <w:rsid w:val="000E078E"/>
    <w:rsid w:val="000E0F93"/>
    <w:rsid w:val="000E144F"/>
    <w:rsid w:val="000E2516"/>
    <w:rsid w:val="000E2D8A"/>
    <w:rsid w:val="000E3146"/>
    <w:rsid w:val="000E31E0"/>
    <w:rsid w:val="000E3538"/>
    <w:rsid w:val="000E38E9"/>
    <w:rsid w:val="000E3AEA"/>
    <w:rsid w:val="000E3DCA"/>
    <w:rsid w:val="000E4117"/>
    <w:rsid w:val="000E4ECE"/>
    <w:rsid w:val="000E5260"/>
    <w:rsid w:val="000E5526"/>
    <w:rsid w:val="000E5996"/>
    <w:rsid w:val="000E5AEA"/>
    <w:rsid w:val="000E5B3C"/>
    <w:rsid w:val="000E5E81"/>
    <w:rsid w:val="000E60CF"/>
    <w:rsid w:val="000E64DB"/>
    <w:rsid w:val="000E660D"/>
    <w:rsid w:val="000E68C7"/>
    <w:rsid w:val="000E6C52"/>
    <w:rsid w:val="000E6F94"/>
    <w:rsid w:val="000E7B5C"/>
    <w:rsid w:val="000E7EAD"/>
    <w:rsid w:val="000F01A0"/>
    <w:rsid w:val="000F0594"/>
    <w:rsid w:val="000F0C9D"/>
    <w:rsid w:val="000F1070"/>
    <w:rsid w:val="000F194B"/>
    <w:rsid w:val="000F1999"/>
    <w:rsid w:val="000F1BB0"/>
    <w:rsid w:val="000F1E8C"/>
    <w:rsid w:val="000F2178"/>
    <w:rsid w:val="000F2529"/>
    <w:rsid w:val="000F2A88"/>
    <w:rsid w:val="000F2B23"/>
    <w:rsid w:val="000F2DCE"/>
    <w:rsid w:val="000F3837"/>
    <w:rsid w:val="000F442F"/>
    <w:rsid w:val="000F4B1B"/>
    <w:rsid w:val="000F4E8B"/>
    <w:rsid w:val="000F53B2"/>
    <w:rsid w:val="000F53CC"/>
    <w:rsid w:val="000F565E"/>
    <w:rsid w:val="000F5D22"/>
    <w:rsid w:val="000F5FE5"/>
    <w:rsid w:val="000F7319"/>
    <w:rsid w:val="000F7D87"/>
    <w:rsid w:val="000F7D8C"/>
    <w:rsid w:val="000F7E24"/>
    <w:rsid w:val="00100660"/>
    <w:rsid w:val="00100CF1"/>
    <w:rsid w:val="00101874"/>
    <w:rsid w:val="00101A4C"/>
    <w:rsid w:val="00101AA6"/>
    <w:rsid w:val="00103AD5"/>
    <w:rsid w:val="001047AB"/>
    <w:rsid w:val="00104C0C"/>
    <w:rsid w:val="00104FC1"/>
    <w:rsid w:val="0010536B"/>
    <w:rsid w:val="00105446"/>
    <w:rsid w:val="001054FE"/>
    <w:rsid w:val="0010570E"/>
    <w:rsid w:val="0010573A"/>
    <w:rsid w:val="001059B4"/>
    <w:rsid w:val="00105E84"/>
    <w:rsid w:val="00106AF7"/>
    <w:rsid w:val="00106CD8"/>
    <w:rsid w:val="00106D69"/>
    <w:rsid w:val="00106F1B"/>
    <w:rsid w:val="00106FB1"/>
    <w:rsid w:val="00107079"/>
    <w:rsid w:val="001074E2"/>
    <w:rsid w:val="00107DF5"/>
    <w:rsid w:val="00107F6E"/>
    <w:rsid w:val="00110039"/>
    <w:rsid w:val="00110722"/>
    <w:rsid w:val="001108CC"/>
    <w:rsid w:val="00110931"/>
    <w:rsid w:val="001109CA"/>
    <w:rsid w:val="00110F4F"/>
    <w:rsid w:val="001116D5"/>
    <w:rsid w:val="00112A11"/>
    <w:rsid w:val="00112A3C"/>
    <w:rsid w:val="00112C90"/>
    <w:rsid w:val="0011350A"/>
    <w:rsid w:val="00113DB4"/>
    <w:rsid w:val="00114183"/>
    <w:rsid w:val="0011499C"/>
    <w:rsid w:val="001149EB"/>
    <w:rsid w:val="00114AF5"/>
    <w:rsid w:val="00114BBF"/>
    <w:rsid w:val="001154FB"/>
    <w:rsid w:val="0011558E"/>
    <w:rsid w:val="0011599D"/>
    <w:rsid w:val="00115EB6"/>
    <w:rsid w:val="00116F1D"/>
    <w:rsid w:val="0011726D"/>
    <w:rsid w:val="001172DE"/>
    <w:rsid w:val="00117347"/>
    <w:rsid w:val="001178E1"/>
    <w:rsid w:val="00117A8D"/>
    <w:rsid w:val="00120140"/>
    <w:rsid w:val="001203FE"/>
    <w:rsid w:val="001207A4"/>
    <w:rsid w:val="0012115A"/>
    <w:rsid w:val="00122921"/>
    <w:rsid w:val="00122A99"/>
    <w:rsid w:val="0012300B"/>
    <w:rsid w:val="00123657"/>
    <w:rsid w:val="001236B2"/>
    <w:rsid w:val="00123902"/>
    <w:rsid w:val="00123CAB"/>
    <w:rsid w:val="0012403A"/>
    <w:rsid w:val="00124138"/>
    <w:rsid w:val="00124449"/>
    <w:rsid w:val="00124AEE"/>
    <w:rsid w:val="00124CCA"/>
    <w:rsid w:val="0012521E"/>
    <w:rsid w:val="001252EA"/>
    <w:rsid w:val="00125A65"/>
    <w:rsid w:val="00126076"/>
    <w:rsid w:val="0012645F"/>
    <w:rsid w:val="00126846"/>
    <w:rsid w:val="001268B4"/>
    <w:rsid w:val="001272DE"/>
    <w:rsid w:val="00127CB3"/>
    <w:rsid w:val="0013028A"/>
    <w:rsid w:val="001305D2"/>
    <w:rsid w:val="00131336"/>
    <w:rsid w:val="001315F6"/>
    <w:rsid w:val="00131B76"/>
    <w:rsid w:val="00131D6C"/>
    <w:rsid w:val="00132AE6"/>
    <w:rsid w:val="00132D26"/>
    <w:rsid w:val="00132E8D"/>
    <w:rsid w:val="0013387A"/>
    <w:rsid w:val="00133B5A"/>
    <w:rsid w:val="00133C76"/>
    <w:rsid w:val="001340BB"/>
    <w:rsid w:val="00134C82"/>
    <w:rsid w:val="00134C8C"/>
    <w:rsid w:val="00134D86"/>
    <w:rsid w:val="00135437"/>
    <w:rsid w:val="001354C5"/>
    <w:rsid w:val="00135673"/>
    <w:rsid w:val="00135AC8"/>
    <w:rsid w:val="00135C2E"/>
    <w:rsid w:val="00136592"/>
    <w:rsid w:val="00136CB1"/>
    <w:rsid w:val="00137038"/>
    <w:rsid w:val="001377D8"/>
    <w:rsid w:val="00140264"/>
    <w:rsid w:val="0014039C"/>
    <w:rsid w:val="001409C7"/>
    <w:rsid w:val="00140C4D"/>
    <w:rsid w:val="00140F15"/>
    <w:rsid w:val="001412A9"/>
    <w:rsid w:val="001412FF"/>
    <w:rsid w:val="00141478"/>
    <w:rsid w:val="00141D03"/>
    <w:rsid w:val="00141F18"/>
    <w:rsid w:val="00142583"/>
    <w:rsid w:val="00142774"/>
    <w:rsid w:val="00142914"/>
    <w:rsid w:val="00142B1B"/>
    <w:rsid w:val="00143059"/>
    <w:rsid w:val="0014332E"/>
    <w:rsid w:val="001436F6"/>
    <w:rsid w:val="001438F1"/>
    <w:rsid w:val="00143AEF"/>
    <w:rsid w:val="00144064"/>
    <w:rsid w:val="00144778"/>
    <w:rsid w:val="0014487D"/>
    <w:rsid w:val="00144B68"/>
    <w:rsid w:val="001451A9"/>
    <w:rsid w:val="00145B59"/>
    <w:rsid w:val="0014784C"/>
    <w:rsid w:val="00147ADF"/>
    <w:rsid w:val="00147D15"/>
    <w:rsid w:val="00147F94"/>
    <w:rsid w:val="001508B0"/>
    <w:rsid w:val="00150995"/>
    <w:rsid w:val="00150D36"/>
    <w:rsid w:val="00150DD2"/>
    <w:rsid w:val="001521D7"/>
    <w:rsid w:val="001521E5"/>
    <w:rsid w:val="001522B1"/>
    <w:rsid w:val="00152755"/>
    <w:rsid w:val="00152768"/>
    <w:rsid w:val="001529C0"/>
    <w:rsid w:val="00152B7D"/>
    <w:rsid w:val="00152D04"/>
    <w:rsid w:val="00152D51"/>
    <w:rsid w:val="00153BD6"/>
    <w:rsid w:val="0015414E"/>
    <w:rsid w:val="00154372"/>
    <w:rsid w:val="00154841"/>
    <w:rsid w:val="00154EA0"/>
    <w:rsid w:val="00155DCF"/>
    <w:rsid w:val="00155FD6"/>
    <w:rsid w:val="0015632C"/>
    <w:rsid w:val="00156351"/>
    <w:rsid w:val="00157CCE"/>
    <w:rsid w:val="00157F35"/>
    <w:rsid w:val="00160503"/>
    <w:rsid w:val="00160720"/>
    <w:rsid w:val="001608DC"/>
    <w:rsid w:val="001609F8"/>
    <w:rsid w:val="00160A65"/>
    <w:rsid w:val="00160B0D"/>
    <w:rsid w:val="00160C91"/>
    <w:rsid w:val="00161025"/>
    <w:rsid w:val="0016115B"/>
    <w:rsid w:val="0016140B"/>
    <w:rsid w:val="00162998"/>
    <w:rsid w:val="0016299B"/>
    <w:rsid w:val="00162CA6"/>
    <w:rsid w:val="00163435"/>
    <w:rsid w:val="001636B3"/>
    <w:rsid w:val="00163910"/>
    <w:rsid w:val="00163D65"/>
    <w:rsid w:val="0016434F"/>
    <w:rsid w:val="00164B38"/>
    <w:rsid w:val="00164F88"/>
    <w:rsid w:val="001659FA"/>
    <w:rsid w:val="0016633B"/>
    <w:rsid w:val="001666FC"/>
    <w:rsid w:val="0016670B"/>
    <w:rsid w:val="0016690A"/>
    <w:rsid w:val="00166D11"/>
    <w:rsid w:val="00167016"/>
    <w:rsid w:val="0016702A"/>
    <w:rsid w:val="001675BC"/>
    <w:rsid w:val="0017001B"/>
    <w:rsid w:val="00170339"/>
    <w:rsid w:val="00170A0B"/>
    <w:rsid w:val="001717DC"/>
    <w:rsid w:val="00171F7E"/>
    <w:rsid w:val="0017208E"/>
    <w:rsid w:val="00172506"/>
    <w:rsid w:val="00172663"/>
    <w:rsid w:val="00172D37"/>
    <w:rsid w:val="00172ECF"/>
    <w:rsid w:val="0017376D"/>
    <w:rsid w:val="0017400C"/>
    <w:rsid w:val="001744BB"/>
    <w:rsid w:val="001745C2"/>
    <w:rsid w:val="001746C8"/>
    <w:rsid w:val="00175189"/>
    <w:rsid w:val="001751C5"/>
    <w:rsid w:val="0017538A"/>
    <w:rsid w:val="0017569D"/>
    <w:rsid w:val="00175A4A"/>
    <w:rsid w:val="0017627A"/>
    <w:rsid w:val="00176436"/>
    <w:rsid w:val="00176989"/>
    <w:rsid w:val="00176AA9"/>
    <w:rsid w:val="00176B80"/>
    <w:rsid w:val="00177013"/>
    <w:rsid w:val="00177641"/>
    <w:rsid w:val="001776F9"/>
    <w:rsid w:val="00177A34"/>
    <w:rsid w:val="00177C0D"/>
    <w:rsid w:val="00177F2C"/>
    <w:rsid w:val="001800F1"/>
    <w:rsid w:val="00180171"/>
    <w:rsid w:val="001802B9"/>
    <w:rsid w:val="0018050C"/>
    <w:rsid w:val="00181164"/>
    <w:rsid w:val="00181EFB"/>
    <w:rsid w:val="00182752"/>
    <w:rsid w:val="001828DF"/>
    <w:rsid w:val="00182993"/>
    <w:rsid w:val="00182EC8"/>
    <w:rsid w:val="00184210"/>
    <w:rsid w:val="00184533"/>
    <w:rsid w:val="001847AD"/>
    <w:rsid w:val="00184E3E"/>
    <w:rsid w:val="00185AA1"/>
    <w:rsid w:val="00186151"/>
    <w:rsid w:val="0018643B"/>
    <w:rsid w:val="001865FC"/>
    <w:rsid w:val="0019030C"/>
    <w:rsid w:val="00190BEE"/>
    <w:rsid w:val="00190DDA"/>
    <w:rsid w:val="00191327"/>
    <w:rsid w:val="001920D5"/>
    <w:rsid w:val="00192956"/>
    <w:rsid w:val="00192BBD"/>
    <w:rsid w:val="00192DFF"/>
    <w:rsid w:val="00193200"/>
    <w:rsid w:val="00193762"/>
    <w:rsid w:val="00193772"/>
    <w:rsid w:val="00193AFF"/>
    <w:rsid w:val="00193E23"/>
    <w:rsid w:val="0019490A"/>
    <w:rsid w:val="00194C68"/>
    <w:rsid w:val="0019537A"/>
    <w:rsid w:val="001958FC"/>
    <w:rsid w:val="001959B5"/>
    <w:rsid w:val="00195D52"/>
    <w:rsid w:val="001961AB"/>
    <w:rsid w:val="00196B3D"/>
    <w:rsid w:val="00197945"/>
    <w:rsid w:val="00197B47"/>
    <w:rsid w:val="00197FA6"/>
    <w:rsid w:val="001A0042"/>
    <w:rsid w:val="001A010C"/>
    <w:rsid w:val="001A0376"/>
    <w:rsid w:val="001A093D"/>
    <w:rsid w:val="001A0C69"/>
    <w:rsid w:val="001A1AD2"/>
    <w:rsid w:val="001A1FD3"/>
    <w:rsid w:val="001A250B"/>
    <w:rsid w:val="001A2B59"/>
    <w:rsid w:val="001A3550"/>
    <w:rsid w:val="001A3F46"/>
    <w:rsid w:val="001A4880"/>
    <w:rsid w:val="001A4A4D"/>
    <w:rsid w:val="001A522A"/>
    <w:rsid w:val="001A57F8"/>
    <w:rsid w:val="001A5CB6"/>
    <w:rsid w:val="001A5DDD"/>
    <w:rsid w:val="001A5EA4"/>
    <w:rsid w:val="001A5F1E"/>
    <w:rsid w:val="001A6059"/>
    <w:rsid w:val="001A621A"/>
    <w:rsid w:val="001A68AC"/>
    <w:rsid w:val="001A6D45"/>
    <w:rsid w:val="001A70F8"/>
    <w:rsid w:val="001A73D6"/>
    <w:rsid w:val="001A77FC"/>
    <w:rsid w:val="001B002A"/>
    <w:rsid w:val="001B0A32"/>
    <w:rsid w:val="001B10BB"/>
    <w:rsid w:val="001B14F2"/>
    <w:rsid w:val="001B1664"/>
    <w:rsid w:val="001B1C3A"/>
    <w:rsid w:val="001B2570"/>
    <w:rsid w:val="001B2658"/>
    <w:rsid w:val="001B2E46"/>
    <w:rsid w:val="001B3828"/>
    <w:rsid w:val="001B3CD1"/>
    <w:rsid w:val="001B4094"/>
    <w:rsid w:val="001B42CE"/>
    <w:rsid w:val="001B43B4"/>
    <w:rsid w:val="001B4B41"/>
    <w:rsid w:val="001B4E55"/>
    <w:rsid w:val="001B549F"/>
    <w:rsid w:val="001B5718"/>
    <w:rsid w:val="001B5992"/>
    <w:rsid w:val="001B59EE"/>
    <w:rsid w:val="001B5C0D"/>
    <w:rsid w:val="001B6B01"/>
    <w:rsid w:val="001B703D"/>
    <w:rsid w:val="001B7FBB"/>
    <w:rsid w:val="001C031A"/>
    <w:rsid w:val="001C03FD"/>
    <w:rsid w:val="001C047A"/>
    <w:rsid w:val="001C0751"/>
    <w:rsid w:val="001C09A5"/>
    <w:rsid w:val="001C0E31"/>
    <w:rsid w:val="001C0E41"/>
    <w:rsid w:val="001C136D"/>
    <w:rsid w:val="001C194F"/>
    <w:rsid w:val="001C1D25"/>
    <w:rsid w:val="001C1DE3"/>
    <w:rsid w:val="001C22AB"/>
    <w:rsid w:val="001C2757"/>
    <w:rsid w:val="001C2B81"/>
    <w:rsid w:val="001C3954"/>
    <w:rsid w:val="001C3D5E"/>
    <w:rsid w:val="001C4322"/>
    <w:rsid w:val="001C4340"/>
    <w:rsid w:val="001C45D7"/>
    <w:rsid w:val="001C56FB"/>
    <w:rsid w:val="001C5CF8"/>
    <w:rsid w:val="001C5EBA"/>
    <w:rsid w:val="001C651B"/>
    <w:rsid w:val="001C701C"/>
    <w:rsid w:val="001C79EB"/>
    <w:rsid w:val="001C7CAC"/>
    <w:rsid w:val="001C7D1B"/>
    <w:rsid w:val="001C7DF7"/>
    <w:rsid w:val="001D01F9"/>
    <w:rsid w:val="001D0658"/>
    <w:rsid w:val="001D0C7F"/>
    <w:rsid w:val="001D0EE0"/>
    <w:rsid w:val="001D0FF6"/>
    <w:rsid w:val="001D1149"/>
    <w:rsid w:val="001D1B89"/>
    <w:rsid w:val="001D20E5"/>
    <w:rsid w:val="001D23C4"/>
    <w:rsid w:val="001D25A3"/>
    <w:rsid w:val="001D283F"/>
    <w:rsid w:val="001D2C03"/>
    <w:rsid w:val="001D2D64"/>
    <w:rsid w:val="001D3CA5"/>
    <w:rsid w:val="001D3DB2"/>
    <w:rsid w:val="001D4926"/>
    <w:rsid w:val="001D5021"/>
    <w:rsid w:val="001D50D4"/>
    <w:rsid w:val="001D52FC"/>
    <w:rsid w:val="001D55D8"/>
    <w:rsid w:val="001D5B39"/>
    <w:rsid w:val="001D6274"/>
    <w:rsid w:val="001D6614"/>
    <w:rsid w:val="001D68E2"/>
    <w:rsid w:val="001D6EE0"/>
    <w:rsid w:val="001D7813"/>
    <w:rsid w:val="001E015F"/>
    <w:rsid w:val="001E033B"/>
    <w:rsid w:val="001E1ABA"/>
    <w:rsid w:val="001E1EF3"/>
    <w:rsid w:val="001E22DD"/>
    <w:rsid w:val="001E2CFD"/>
    <w:rsid w:val="001E324F"/>
    <w:rsid w:val="001E36E6"/>
    <w:rsid w:val="001E3A50"/>
    <w:rsid w:val="001E40FE"/>
    <w:rsid w:val="001E427A"/>
    <w:rsid w:val="001E48B2"/>
    <w:rsid w:val="001E4F4D"/>
    <w:rsid w:val="001E4F58"/>
    <w:rsid w:val="001E5EE5"/>
    <w:rsid w:val="001E640F"/>
    <w:rsid w:val="001E6860"/>
    <w:rsid w:val="001E6A02"/>
    <w:rsid w:val="001E6C5A"/>
    <w:rsid w:val="001E6DB4"/>
    <w:rsid w:val="001E7CB8"/>
    <w:rsid w:val="001E7CF3"/>
    <w:rsid w:val="001E7F04"/>
    <w:rsid w:val="001F0A2F"/>
    <w:rsid w:val="001F0CA7"/>
    <w:rsid w:val="001F13B3"/>
    <w:rsid w:val="001F1ABE"/>
    <w:rsid w:val="001F1B90"/>
    <w:rsid w:val="001F2478"/>
    <w:rsid w:val="001F25D6"/>
    <w:rsid w:val="001F3182"/>
    <w:rsid w:val="001F395B"/>
    <w:rsid w:val="001F3CAE"/>
    <w:rsid w:val="001F3DA6"/>
    <w:rsid w:val="001F5BF3"/>
    <w:rsid w:val="001F6058"/>
    <w:rsid w:val="001F645A"/>
    <w:rsid w:val="001F6652"/>
    <w:rsid w:val="001F6739"/>
    <w:rsid w:val="001F7141"/>
    <w:rsid w:val="001F71FB"/>
    <w:rsid w:val="001F7F1A"/>
    <w:rsid w:val="001F7F5A"/>
    <w:rsid w:val="00200365"/>
    <w:rsid w:val="00200647"/>
    <w:rsid w:val="002008C2"/>
    <w:rsid w:val="00200A37"/>
    <w:rsid w:val="00200ADF"/>
    <w:rsid w:val="002010E0"/>
    <w:rsid w:val="0020122F"/>
    <w:rsid w:val="002013E6"/>
    <w:rsid w:val="002015FE"/>
    <w:rsid w:val="0020162C"/>
    <w:rsid w:val="002018C2"/>
    <w:rsid w:val="002021D7"/>
    <w:rsid w:val="00202243"/>
    <w:rsid w:val="00202A5C"/>
    <w:rsid w:val="00202CB3"/>
    <w:rsid w:val="00203184"/>
    <w:rsid w:val="002038E8"/>
    <w:rsid w:val="002046F4"/>
    <w:rsid w:val="00204964"/>
    <w:rsid w:val="002050EF"/>
    <w:rsid w:val="00205459"/>
    <w:rsid w:val="002056D7"/>
    <w:rsid w:val="00205E81"/>
    <w:rsid w:val="00205FAB"/>
    <w:rsid w:val="00205FD6"/>
    <w:rsid w:val="0020618D"/>
    <w:rsid w:val="00206A8D"/>
    <w:rsid w:val="00206BB9"/>
    <w:rsid w:val="00206D7E"/>
    <w:rsid w:val="00206FA0"/>
    <w:rsid w:val="00207293"/>
    <w:rsid w:val="002104E0"/>
    <w:rsid w:val="002107A9"/>
    <w:rsid w:val="00210A05"/>
    <w:rsid w:val="00211307"/>
    <w:rsid w:val="0021165E"/>
    <w:rsid w:val="002119F5"/>
    <w:rsid w:val="00212366"/>
    <w:rsid w:val="00212685"/>
    <w:rsid w:val="002126F8"/>
    <w:rsid w:val="002129AB"/>
    <w:rsid w:val="00213F15"/>
    <w:rsid w:val="00214851"/>
    <w:rsid w:val="00214EA5"/>
    <w:rsid w:val="002152C9"/>
    <w:rsid w:val="00215D09"/>
    <w:rsid w:val="002163B0"/>
    <w:rsid w:val="002169D0"/>
    <w:rsid w:val="002177A2"/>
    <w:rsid w:val="00217934"/>
    <w:rsid w:val="0021796C"/>
    <w:rsid w:val="00220B25"/>
    <w:rsid w:val="00221471"/>
    <w:rsid w:val="00221576"/>
    <w:rsid w:val="002215C6"/>
    <w:rsid w:val="00221A8B"/>
    <w:rsid w:val="00222437"/>
    <w:rsid w:val="00222DDF"/>
    <w:rsid w:val="00223362"/>
    <w:rsid w:val="002237CF"/>
    <w:rsid w:val="00224767"/>
    <w:rsid w:val="00224B18"/>
    <w:rsid w:val="002251E1"/>
    <w:rsid w:val="00226341"/>
    <w:rsid w:val="0022648C"/>
    <w:rsid w:val="00226A02"/>
    <w:rsid w:val="00226A04"/>
    <w:rsid w:val="00227150"/>
    <w:rsid w:val="00227EB0"/>
    <w:rsid w:val="002300ED"/>
    <w:rsid w:val="002309E1"/>
    <w:rsid w:val="00230BE7"/>
    <w:rsid w:val="00230C3F"/>
    <w:rsid w:val="002311F4"/>
    <w:rsid w:val="002314FB"/>
    <w:rsid w:val="002316C2"/>
    <w:rsid w:val="0023186B"/>
    <w:rsid w:val="00231EA4"/>
    <w:rsid w:val="00231EAF"/>
    <w:rsid w:val="00232779"/>
    <w:rsid w:val="00232BDB"/>
    <w:rsid w:val="00232F61"/>
    <w:rsid w:val="00233ED2"/>
    <w:rsid w:val="00233FFC"/>
    <w:rsid w:val="002351B7"/>
    <w:rsid w:val="002355E3"/>
    <w:rsid w:val="00235E4E"/>
    <w:rsid w:val="00236253"/>
    <w:rsid w:val="00236845"/>
    <w:rsid w:val="00236BB1"/>
    <w:rsid w:val="00236ED8"/>
    <w:rsid w:val="002372F8"/>
    <w:rsid w:val="002374D1"/>
    <w:rsid w:val="002379F9"/>
    <w:rsid w:val="00237B4D"/>
    <w:rsid w:val="00237D6D"/>
    <w:rsid w:val="00240AC2"/>
    <w:rsid w:val="0024175F"/>
    <w:rsid w:val="002418AE"/>
    <w:rsid w:val="00241A4C"/>
    <w:rsid w:val="00241F0C"/>
    <w:rsid w:val="002420E8"/>
    <w:rsid w:val="00243132"/>
    <w:rsid w:val="002435BF"/>
    <w:rsid w:val="0024375B"/>
    <w:rsid w:val="00243B8C"/>
    <w:rsid w:val="00244514"/>
    <w:rsid w:val="0024477E"/>
    <w:rsid w:val="002447B7"/>
    <w:rsid w:val="002467F1"/>
    <w:rsid w:val="00246D03"/>
    <w:rsid w:val="00246DB2"/>
    <w:rsid w:val="00247182"/>
    <w:rsid w:val="002473C7"/>
    <w:rsid w:val="002479D4"/>
    <w:rsid w:val="00247C4A"/>
    <w:rsid w:val="002501E3"/>
    <w:rsid w:val="002507E0"/>
    <w:rsid w:val="00250DC6"/>
    <w:rsid w:val="002510B3"/>
    <w:rsid w:val="0025127F"/>
    <w:rsid w:val="00251A5A"/>
    <w:rsid w:val="00251F94"/>
    <w:rsid w:val="002523CD"/>
    <w:rsid w:val="00252920"/>
    <w:rsid w:val="00252DEB"/>
    <w:rsid w:val="00252E74"/>
    <w:rsid w:val="00253DF2"/>
    <w:rsid w:val="00253F57"/>
    <w:rsid w:val="0025452C"/>
    <w:rsid w:val="00254880"/>
    <w:rsid w:val="0025502E"/>
    <w:rsid w:val="002555E7"/>
    <w:rsid w:val="00255E77"/>
    <w:rsid w:val="00255EAA"/>
    <w:rsid w:val="0025600C"/>
    <w:rsid w:val="00256092"/>
    <w:rsid w:val="00256DA5"/>
    <w:rsid w:val="00256EAB"/>
    <w:rsid w:val="00257D6E"/>
    <w:rsid w:val="002602CF"/>
    <w:rsid w:val="00260DB0"/>
    <w:rsid w:val="002610C6"/>
    <w:rsid w:val="00261478"/>
    <w:rsid w:val="0026168C"/>
    <w:rsid w:val="00261875"/>
    <w:rsid w:val="002618EA"/>
    <w:rsid w:val="00261E90"/>
    <w:rsid w:val="00261ED0"/>
    <w:rsid w:val="00261FAF"/>
    <w:rsid w:val="0026294A"/>
    <w:rsid w:val="00262C4B"/>
    <w:rsid w:val="002635C6"/>
    <w:rsid w:val="00263756"/>
    <w:rsid w:val="00263B53"/>
    <w:rsid w:val="00263CE9"/>
    <w:rsid w:val="00264AC2"/>
    <w:rsid w:val="00264D30"/>
    <w:rsid w:val="00264DC2"/>
    <w:rsid w:val="00264FE1"/>
    <w:rsid w:val="002653A4"/>
    <w:rsid w:val="002656AE"/>
    <w:rsid w:val="00265806"/>
    <w:rsid w:val="0026582D"/>
    <w:rsid w:val="00265EE3"/>
    <w:rsid w:val="00266AE1"/>
    <w:rsid w:val="00266B2D"/>
    <w:rsid w:val="00267A1F"/>
    <w:rsid w:val="00267F8C"/>
    <w:rsid w:val="002703BD"/>
    <w:rsid w:val="00270DB5"/>
    <w:rsid w:val="00271CF2"/>
    <w:rsid w:val="0027205C"/>
    <w:rsid w:val="002722CA"/>
    <w:rsid w:val="002735EF"/>
    <w:rsid w:val="00273C19"/>
    <w:rsid w:val="00274605"/>
    <w:rsid w:val="00275DA8"/>
    <w:rsid w:val="002762A4"/>
    <w:rsid w:val="002768F5"/>
    <w:rsid w:val="00276937"/>
    <w:rsid w:val="00276BAD"/>
    <w:rsid w:val="0027768F"/>
    <w:rsid w:val="00280155"/>
    <w:rsid w:val="00280B1D"/>
    <w:rsid w:val="00280D63"/>
    <w:rsid w:val="00280EA9"/>
    <w:rsid w:val="0028116F"/>
    <w:rsid w:val="002813E1"/>
    <w:rsid w:val="00281F98"/>
    <w:rsid w:val="002821A2"/>
    <w:rsid w:val="00282459"/>
    <w:rsid w:val="002826BE"/>
    <w:rsid w:val="00282CD4"/>
    <w:rsid w:val="00282EC5"/>
    <w:rsid w:val="00282F50"/>
    <w:rsid w:val="00283012"/>
    <w:rsid w:val="0028341B"/>
    <w:rsid w:val="00283EB1"/>
    <w:rsid w:val="00283FC7"/>
    <w:rsid w:val="002844D2"/>
    <w:rsid w:val="00284AB8"/>
    <w:rsid w:val="00285066"/>
    <w:rsid w:val="0028511F"/>
    <w:rsid w:val="002852D4"/>
    <w:rsid w:val="002855E0"/>
    <w:rsid w:val="00285928"/>
    <w:rsid w:val="00285ECE"/>
    <w:rsid w:val="00285FF0"/>
    <w:rsid w:val="00286161"/>
    <w:rsid w:val="00286855"/>
    <w:rsid w:val="002879BF"/>
    <w:rsid w:val="002879D2"/>
    <w:rsid w:val="00287E73"/>
    <w:rsid w:val="002902D7"/>
    <w:rsid w:val="00290526"/>
    <w:rsid w:val="00290656"/>
    <w:rsid w:val="002908F2"/>
    <w:rsid w:val="002910B5"/>
    <w:rsid w:val="00291921"/>
    <w:rsid w:val="00291A13"/>
    <w:rsid w:val="0029230C"/>
    <w:rsid w:val="0029279E"/>
    <w:rsid w:val="002929F9"/>
    <w:rsid w:val="00292AFB"/>
    <w:rsid w:val="00292C6C"/>
    <w:rsid w:val="002930B1"/>
    <w:rsid w:val="00293714"/>
    <w:rsid w:val="002939A2"/>
    <w:rsid w:val="002947EB"/>
    <w:rsid w:val="00294CCF"/>
    <w:rsid w:val="00294D3C"/>
    <w:rsid w:val="00294DF7"/>
    <w:rsid w:val="00294E25"/>
    <w:rsid w:val="00295AE2"/>
    <w:rsid w:val="00296421"/>
    <w:rsid w:val="002968B3"/>
    <w:rsid w:val="00297132"/>
    <w:rsid w:val="00297337"/>
    <w:rsid w:val="00297399"/>
    <w:rsid w:val="002976BF"/>
    <w:rsid w:val="00297F53"/>
    <w:rsid w:val="002A0761"/>
    <w:rsid w:val="002A0C97"/>
    <w:rsid w:val="002A11E1"/>
    <w:rsid w:val="002A14BC"/>
    <w:rsid w:val="002A1A2F"/>
    <w:rsid w:val="002A2425"/>
    <w:rsid w:val="002A2849"/>
    <w:rsid w:val="002A2C04"/>
    <w:rsid w:val="002A3982"/>
    <w:rsid w:val="002A3A22"/>
    <w:rsid w:val="002A436A"/>
    <w:rsid w:val="002A45DF"/>
    <w:rsid w:val="002A5DCD"/>
    <w:rsid w:val="002A646D"/>
    <w:rsid w:val="002A6E7C"/>
    <w:rsid w:val="002A77ED"/>
    <w:rsid w:val="002A7D91"/>
    <w:rsid w:val="002A7EA5"/>
    <w:rsid w:val="002A7F58"/>
    <w:rsid w:val="002B0274"/>
    <w:rsid w:val="002B029B"/>
    <w:rsid w:val="002B0707"/>
    <w:rsid w:val="002B17F9"/>
    <w:rsid w:val="002B1913"/>
    <w:rsid w:val="002B24F8"/>
    <w:rsid w:val="002B30AF"/>
    <w:rsid w:val="002B3309"/>
    <w:rsid w:val="002B3374"/>
    <w:rsid w:val="002B37F8"/>
    <w:rsid w:val="002B3E42"/>
    <w:rsid w:val="002B3EBE"/>
    <w:rsid w:val="002B3FB6"/>
    <w:rsid w:val="002B4432"/>
    <w:rsid w:val="002B45E5"/>
    <w:rsid w:val="002B4C5F"/>
    <w:rsid w:val="002B4DE4"/>
    <w:rsid w:val="002B4E7B"/>
    <w:rsid w:val="002B5909"/>
    <w:rsid w:val="002B5996"/>
    <w:rsid w:val="002B5A0B"/>
    <w:rsid w:val="002B6318"/>
    <w:rsid w:val="002B660B"/>
    <w:rsid w:val="002B7270"/>
    <w:rsid w:val="002B7764"/>
    <w:rsid w:val="002B7A6A"/>
    <w:rsid w:val="002B7B31"/>
    <w:rsid w:val="002C0079"/>
    <w:rsid w:val="002C033C"/>
    <w:rsid w:val="002C0774"/>
    <w:rsid w:val="002C0C9D"/>
    <w:rsid w:val="002C104C"/>
    <w:rsid w:val="002C1433"/>
    <w:rsid w:val="002C15CA"/>
    <w:rsid w:val="002C1684"/>
    <w:rsid w:val="002C3363"/>
    <w:rsid w:val="002C3616"/>
    <w:rsid w:val="002C3E4F"/>
    <w:rsid w:val="002C3FC5"/>
    <w:rsid w:val="002C4187"/>
    <w:rsid w:val="002C445E"/>
    <w:rsid w:val="002C4615"/>
    <w:rsid w:val="002C46FD"/>
    <w:rsid w:val="002C4701"/>
    <w:rsid w:val="002C482B"/>
    <w:rsid w:val="002C4E07"/>
    <w:rsid w:val="002C5386"/>
    <w:rsid w:val="002C554E"/>
    <w:rsid w:val="002C5755"/>
    <w:rsid w:val="002C5E95"/>
    <w:rsid w:val="002C63DC"/>
    <w:rsid w:val="002C64E1"/>
    <w:rsid w:val="002C6834"/>
    <w:rsid w:val="002C6CD7"/>
    <w:rsid w:val="002C7027"/>
    <w:rsid w:val="002C7A65"/>
    <w:rsid w:val="002D189D"/>
    <w:rsid w:val="002D204B"/>
    <w:rsid w:val="002D20BE"/>
    <w:rsid w:val="002D22ED"/>
    <w:rsid w:val="002D238B"/>
    <w:rsid w:val="002D2FDD"/>
    <w:rsid w:val="002D3254"/>
    <w:rsid w:val="002D34A8"/>
    <w:rsid w:val="002D38A2"/>
    <w:rsid w:val="002D45B8"/>
    <w:rsid w:val="002D565E"/>
    <w:rsid w:val="002D5E23"/>
    <w:rsid w:val="002D61FB"/>
    <w:rsid w:val="002D6213"/>
    <w:rsid w:val="002D623D"/>
    <w:rsid w:val="002D65F9"/>
    <w:rsid w:val="002D6777"/>
    <w:rsid w:val="002D6852"/>
    <w:rsid w:val="002D7145"/>
    <w:rsid w:val="002D785C"/>
    <w:rsid w:val="002D7A48"/>
    <w:rsid w:val="002D7D3D"/>
    <w:rsid w:val="002D7F7B"/>
    <w:rsid w:val="002D7FD0"/>
    <w:rsid w:val="002E0158"/>
    <w:rsid w:val="002E02ED"/>
    <w:rsid w:val="002E124C"/>
    <w:rsid w:val="002E12E2"/>
    <w:rsid w:val="002E1324"/>
    <w:rsid w:val="002E1A92"/>
    <w:rsid w:val="002E256A"/>
    <w:rsid w:val="002E28E9"/>
    <w:rsid w:val="002E2EE3"/>
    <w:rsid w:val="002E30BE"/>
    <w:rsid w:val="002E3637"/>
    <w:rsid w:val="002E3A26"/>
    <w:rsid w:val="002E3C76"/>
    <w:rsid w:val="002E3CBD"/>
    <w:rsid w:val="002E3D52"/>
    <w:rsid w:val="002E40F3"/>
    <w:rsid w:val="002E4D4E"/>
    <w:rsid w:val="002E4FDC"/>
    <w:rsid w:val="002E5291"/>
    <w:rsid w:val="002E59A5"/>
    <w:rsid w:val="002E5CAA"/>
    <w:rsid w:val="002E61DA"/>
    <w:rsid w:val="002E6217"/>
    <w:rsid w:val="002E67A7"/>
    <w:rsid w:val="002E6875"/>
    <w:rsid w:val="002E6E71"/>
    <w:rsid w:val="002E7859"/>
    <w:rsid w:val="002F00B4"/>
    <w:rsid w:val="002F03F5"/>
    <w:rsid w:val="002F070C"/>
    <w:rsid w:val="002F0B71"/>
    <w:rsid w:val="002F14E0"/>
    <w:rsid w:val="002F16C7"/>
    <w:rsid w:val="002F2041"/>
    <w:rsid w:val="002F2195"/>
    <w:rsid w:val="002F219F"/>
    <w:rsid w:val="002F225B"/>
    <w:rsid w:val="002F29F1"/>
    <w:rsid w:val="002F2BD7"/>
    <w:rsid w:val="002F2DAF"/>
    <w:rsid w:val="002F31F1"/>
    <w:rsid w:val="002F369F"/>
    <w:rsid w:val="002F41BB"/>
    <w:rsid w:val="002F46F9"/>
    <w:rsid w:val="002F4753"/>
    <w:rsid w:val="002F4EF9"/>
    <w:rsid w:val="002F5C10"/>
    <w:rsid w:val="002F5DF2"/>
    <w:rsid w:val="002F5EAA"/>
    <w:rsid w:val="002F6902"/>
    <w:rsid w:val="002F693C"/>
    <w:rsid w:val="002F6993"/>
    <w:rsid w:val="002F6DB1"/>
    <w:rsid w:val="002F7577"/>
    <w:rsid w:val="003002D2"/>
    <w:rsid w:val="0030071D"/>
    <w:rsid w:val="003007A4"/>
    <w:rsid w:val="00300F9F"/>
    <w:rsid w:val="00301988"/>
    <w:rsid w:val="00302622"/>
    <w:rsid w:val="00302794"/>
    <w:rsid w:val="003028F0"/>
    <w:rsid w:val="00302A8A"/>
    <w:rsid w:val="0030307B"/>
    <w:rsid w:val="00303907"/>
    <w:rsid w:val="003039F3"/>
    <w:rsid w:val="00304209"/>
    <w:rsid w:val="00304605"/>
    <w:rsid w:val="00304926"/>
    <w:rsid w:val="0030528D"/>
    <w:rsid w:val="0030556B"/>
    <w:rsid w:val="00305EA6"/>
    <w:rsid w:val="00305EB3"/>
    <w:rsid w:val="0030644B"/>
    <w:rsid w:val="00306699"/>
    <w:rsid w:val="0030709A"/>
    <w:rsid w:val="003072D9"/>
    <w:rsid w:val="00307479"/>
    <w:rsid w:val="00310F42"/>
    <w:rsid w:val="00312956"/>
    <w:rsid w:val="00312A27"/>
    <w:rsid w:val="0031386C"/>
    <w:rsid w:val="00313AB8"/>
    <w:rsid w:val="00313E9E"/>
    <w:rsid w:val="00313F46"/>
    <w:rsid w:val="0031584E"/>
    <w:rsid w:val="003159F9"/>
    <w:rsid w:val="00316100"/>
    <w:rsid w:val="003164C5"/>
    <w:rsid w:val="00316A16"/>
    <w:rsid w:val="00316A56"/>
    <w:rsid w:val="00316C3D"/>
    <w:rsid w:val="00317289"/>
    <w:rsid w:val="0031759E"/>
    <w:rsid w:val="00320259"/>
    <w:rsid w:val="00320534"/>
    <w:rsid w:val="003214DA"/>
    <w:rsid w:val="00321640"/>
    <w:rsid w:val="003216E1"/>
    <w:rsid w:val="00321B82"/>
    <w:rsid w:val="003221DC"/>
    <w:rsid w:val="003222F6"/>
    <w:rsid w:val="003225C8"/>
    <w:rsid w:val="00322B24"/>
    <w:rsid w:val="00322CFC"/>
    <w:rsid w:val="003234F2"/>
    <w:rsid w:val="00323627"/>
    <w:rsid w:val="0032391B"/>
    <w:rsid w:val="0032400E"/>
    <w:rsid w:val="00324742"/>
    <w:rsid w:val="003251A1"/>
    <w:rsid w:val="00325B10"/>
    <w:rsid w:val="00325DF7"/>
    <w:rsid w:val="00325E01"/>
    <w:rsid w:val="00326200"/>
    <w:rsid w:val="00326DD3"/>
    <w:rsid w:val="0032777A"/>
    <w:rsid w:val="00327D36"/>
    <w:rsid w:val="003300B0"/>
    <w:rsid w:val="00330156"/>
    <w:rsid w:val="00330586"/>
    <w:rsid w:val="0033153B"/>
    <w:rsid w:val="003317FC"/>
    <w:rsid w:val="00331E9E"/>
    <w:rsid w:val="00332214"/>
    <w:rsid w:val="00333823"/>
    <w:rsid w:val="00333F50"/>
    <w:rsid w:val="003342F2"/>
    <w:rsid w:val="00335163"/>
    <w:rsid w:val="00335248"/>
    <w:rsid w:val="00335557"/>
    <w:rsid w:val="00335CB3"/>
    <w:rsid w:val="003367AE"/>
    <w:rsid w:val="00336826"/>
    <w:rsid w:val="00336D1E"/>
    <w:rsid w:val="00336DB1"/>
    <w:rsid w:val="003370B1"/>
    <w:rsid w:val="0034062B"/>
    <w:rsid w:val="0034163E"/>
    <w:rsid w:val="003417DC"/>
    <w:rsid w:val="00341820"/>
    <w:rsid w:val="00341CB5"/>
    <w:rsid w:val="0034246F"/>
    <w:rsid w:val="00342BFA"/>
    <w:rsid w:val="0034328F"/>
    <w:rsid w:val="0034370E"/>
    <w:rsid w:val="00343DA1"/>
    <w:rsid w:val="0034430F"/>
    <w:rsid w:val="00344651"/>
    <w:rsid w:val="003446AA"/>
    <w:rsid w:val="003449FC"/>
    <w:rsid w:val="00345269"/>
    <w:rsid w:val="00345588"/>
    <w:rsid w:val="00345630"/>
    <w:rsid w:val="0034563C"/>
    <w:rsid w:val="00345E9A"/>
    <w:rsid w:val="003465EF"/>
    <w:rsid w:val="0034687F"/>
    <w:rsid w:val="0034698E"/>
    <w:rsid w:val="00346B20"/>
    <w:rsid w:val="00346E0C"/>
    <w:rsid w:val="00346ED3"/>
    <w:rsid w:val="00347210"/>
    <w:rsid w:val="00347470"/>
    <w:rsid w:val="003474D5"/>
    <w:rsid w:val="003475DE"/>
    <w:rsid w:val="003476DB"/>
    <w:rsid w:val="00347848"/>
    <w:rsid w:val="003478A8"/>
    <w:rsid w:val="003478FA"/>
    <w:rsid w:val="0034796B"/>
    <w:rsid w:val="00347DC1"/>
    <w:rsid w:val="00350108"/>
    <w:rsid w:val="00350964"/>
    <w:rsid w:val="0035108F"/>
    <w:rsid w:val="00351346"/>
    <w:rsid w:val="00351C4F"/>
    <w:rsid w:val="00352116"/>
    <w:rsid w:val="00352B94"/>
    <w:rsid w:val="00352CE6"/>
    <w:rsid w:val="00353989"/>
    <w:rsid w:val="00353B0B"/>
    <w:rsid w:val="00356145"/>
    <w:rsid w:val="0035636A"/>
    <w:rsid w:val="003568FE"/>
    <w:rsid w:val="00356EE6"/>
    <w:rsid w:val="00357631"/>
    <w:rsid w:val="003577E0"/>
    <w:rsid w:val="00357D64"/>
    <w:rsid w:val="00357DE0"/>
    <w:rsid w:val="003600D1"/>
    <w:rsid w:val="00360724"/>
    <w:rsid w:val="00360744"/>
    <w:rsid w:val="00360885"/>
    <w:rsid w:val="00361A8B"/>
    <w:rsid w:val="00361CDF"/>
    <w:rsid w:val="00362274"/>
    <w:rsid w:val="003652CF"/>
    <w:rsid w:val="00365771"/>
    <w:rsid w:val="00365AFC"/>
    <w:rsid w:val="00365F59"/>
    <w:rsid w:val="003663DF"/>
    <w:rsid w:val="003671A0"/>
    <w:rsid w:val="00367499"/>
    <w:rsid w:val="003674C0"/>
    <w:rsid w:val="00367740"/>
    <w:rsid w:val="00371103"/>
    <w:rsid w:val="003712F0"/>
    <w:rsid w:val="00371532"/>
    <w:rsid w:val="00371730"/>
    <w:rsid w:val="003719B8"/>
    <w:rsid w:val="00371C68"/>
    <w:rsid w:val="003721FD"/>
    <w:rsid w:val="00372233"/>
    <w:rsid w:val="00372875"/>
    <w:rsid w:val="003728C0"/>
    <w:rsid w:val="00373121"/>
    <w:rsid w:val="0037386A"/>
    <w:rsid w:val="003740A6"/>
    <w:rsid w:val="00374499"/>
    <w:rsid w:val="00374DD0"/>
    <w:rsid w:val="00374E02"/>
    <w:rsid w:val="00374FBF"/>
    <w:rsid w:val="00375203"/>
    <w:rsid w:val="003753FF"/>
    <w:rsid w:val="00375E79"/>
    <w:rsid w:val="00375EAC"/>
    <w:rsid w:val="00375F0F"/>
    <w:rsid w:val="00376096"/>
    <w:rsid w:val="003762A0"/>
    <w:rsid w:val="003763C4"/>
    <w:rsid w:val="00376811"/>
    <w:rsid w:val="00377036"/>
    <w:rsid w:val="003778AD"/>
    <w:rsid w:val="00377FDB"/>
    <w:rsid w:val="003807FD"/>
    <w:rsid w:val="00380927"/>
    <w:rsid w:val="00380A25"/>
    <w:rsid w:val="003815D0"/>
    <w:rsid w:val="00381AD9"/>
    <w:rsid w:val="00381EB4"/>
    <w:rsid w:val="003824BA"/>
    <w:rsid w:val="00382968"/>
    <w:rsid w:val="00382D89"/>
    <w:rsid w:val="00382E1C"/>
    <w:rsid w:val="00383256"/>
    <w:rsid w:val="00383645"/>
    <w:rsid w:val="00383704"/>
    <w:rsid w:val="00383F03"/>
    <w:rsid w:val="003851D3"/>
    <w:rsid w:val="00385363"/>
    <w:rsid w:val="00385387"/>
    <w:rsid w:val="003853D5"/>
    <w:rsid w:val="003855E4"/>
    <w:rsid w:val="00385707"/>
    <w:rsid w:val="00385717"/>
    <w:rsid w:val="003860D0"/>
    <w:rsid w:val="003863EA"/>
    <w:rsid w:val="0038659D"/>
    <w:rsid w:val="003865B1"/>
    <w:rsid w:val="00387444"/>
    <w:rsid w:val="003879AE"/>
    <w:rsid w:val="00390511"/>
    <w:rsid w:val="00390784"/>
    <w:rsid w:val="00390884"/>
    <w:rsid w:val="0039095A"/>
    <w:rsid w:val="00390EC9"/>
    <w:rsid w:val="00391826"/>
    <w:rsid w:val="0039208D"/>
    <w:rsid w:val="00392475"/>
    <w:rsid w:val="0039268D"/>
    <w:rsid w:val="00392D1C"/>
    <w:rsid w:val="00392E24"/>
    <w:rsid w:val="00393963"/>
    <w:rsid w:val="00394526"/>
    <w:rsid w:val="0039467D"/>
    <w:rsid w:val="00394791"/>
    <w:rsid w:val="003948E2"/>
    <w:rsid w:val="00395AA5"/>
    <w:rsid w:val="00395E09"/>
    <w:rsid w:val="00396776"/>
    <w:rsid w:val="00396951"/>
    <w:rsid w:val="003973D9"/>
    <w:rsid w:val="003A0608"/>
    <w:rsid w:val="003A07A3"/>
    <w:rsid w:val="003A081C"/>
    <w:rsid w:val="003A0A52"/>
    <w:rsid w:val="003A0BC7"/>
    <w:rsid w:val="003A0CDC"/>
    <w:rsid w:val="003A1A12"/>
    <w:rsid w:val="003A1AD8"/>
    <w:rsid w:val="003A1D88"/>
    <w:rsid w:val="003A38D7"/>
    <w:rsid w:val="003A3A34"/>
    <w:rsid w:val="003A4E3A"/>
    <w:rsid w:val="003A5113"/>
    <w:rsid w:val="003A5385"/>
    <w:rsid w:val="003A5452"/>
    <w:rsid w:val="003A5E37"/>
    <w:rsid w:val="003A61E4"/>
    <w:rsid w:val="003A63DE"/>
    <w:rsid w:val="003A650D"/>
    <w:rsid w:val="003A6C4B"/>
    <w:rsid w:val="003A71DB"/>
    <w:rsid w:val="003A7E7D"/>
    <w:rsid w:val="003A7FDC"/>
    <w:rsid w:val="003B01E6"/>
    <w:rsid w:val="003B057E"/>
    <w:rsid w:val="003B0E8E"/>
    <w:rsid w:val="003B14AE"/>
    <w:rsid w:val="003B151C"/>
    <w:rsid w:val="003B17AF"/>
    <w:rsid w:val="003B1C81"/>
    <w:rsid w:val="003B2830"/>
    <w:rsid w:val="003B2CD3"/>
    <w:rsid w:val="003B2D27"/>
    <w:rsid w:val="003B2EF8"/>
    <w:rsid w:val="003B2FBB"/>
    <w:rsid w:val="003B3B81"/>
    <w:rsid w:val="003B3C07"/>
    <w:rsid w:val="003B4210"/>
    <w:rsid w:val="003B44FB"/>
    <w:rsid w:val="003B47FD"/>
    <w:rsid w:val="003B4A5C"/>
    <w:rsid w:val="003B4A65"/>
    <w:rsid w:val="003B4AB6"/>
    <w:rsid w:val="003B527C"/>
    <w:rsid w:val="003B57E7"/>
    <w:rsid w:val="003B5F56"/>
    <w:rsid w:val="003B63BF"/>
    <w:rsid w:val="003B6657"/>
    <w:rsid w:val="003B67C0"/>
    <w:rsid w:val="003B6C36"/>
    <w:rsid w:val="003B7116"/>
    <w:rsid w:val="003C068E"/>
    <w:rsid w:val="003C0BDB"/>
    <w:rsid w:val="003C0C1C"/>
    <w:rsid w:val="003C0C2B"/>
    <w:rsid w:val="003C1C92"/>
    <w:rsid w:val="003C244F"/>
    <w:rsid w:val="003C251C"/>
    <w:rsid w:val="003C291F"/>
    <w:rsid w:val="003C2A09"/>
    <w:rsid w:val="003C2D51"/>
    <w:rsid w:val="003C2F6B"/>
    <w:rsid w:val="003C3615"/>
    <w:rsid w:val="003C395A"/>
    <w:rsid w:val="003C3C63"/>
    <w:rsid w:val="003C3DDB"/>
    <w:rsid w:val="003C3DF0"/>
    <w:rsid w:val="003C409E"/>
    <w:rsid w:val="003C4697"/>
    <w:rsid w:val="003C479D"/>
    <w:rsid w:val="003C4EC4"/>
    <w:rsid w:val="003C5475"/>
    <w:rsid w:val="003C54AE"/>
    <w:rsid w:val="003C5C1D"/>
    <w:rsid w:val="003C633F"/>
    <w:rsid w:val="003C6866"/>
    <w:rsid w:val="003C6DB9"/>
    <w:rsid w:val="003C715A"/>
    <w:rsid w:val="003D0A3E"/>
    <w:rsid w:val="003D0B7D"/>
    <w:rsid w:val="003D128F"/>
    <w:rsid w:val="003D13A2"/>
    <w:rsid w:val="003D1A82"/>
    <w:rsid w:val="003D1AFC"/>
    <w:rsid w:val="003D26F9"/>
    <w:rsid w:val="003D29A7"/>
    <w:rsid w:val="003D3372"/>
    <w:rsid w:val="003D383C"/>
    <w:rsid w:val="003D3922"/>
    <w:rsid w:val="003D3C48"/>
    <w:rsid w:val="003D3E76"/>
    <w:rsid w:val="003D4C84"/>
    <w:rsid w:val="003D4D3A"/>
    <w:rsid w:val="003D4E96"/>
    <w:rsid w:val="003D503C"/>
    <w:rsid w:val="003D52DB"/>
    <w:rsid w:val="003D53D5"/>
    <w:rsid w:val="003D6121"/>
    <w:rsid w:val="003D63E0"/>
    <w:rsid w:val="003D6B0D"/>
    <w:rsid w:val="003D6C3C"/>
    <w:rsid w:val="003D7894"/>
    <w:rsid w:val="003D7969"/>
    <w:rsid w:val="003D7A1D"/>
    <w:rsid w:val="003D7A41"/>
    <w:rsid w:val="003E0390"/>
    <w:rsid w:val="003E0947"/>
    <w:rsid w:val="003E0A26"/>
    <w:rsid w:val="003E0CF0"/>
    <w:rsid w:val="003E1543"/>
    <w:rsid w:val="003E1EA6"/>
    <w:rsid w:val="003E30D7"/>
    <w:rsid w:val="003E3182"/>
    <w:rsid w:val="003E34DB"/>
    <w:rsid w:val="003E34DE"/>
    <w:rsid w:val="003E385F"/>
    <w:rsid w:val="003E43A6"/>
    <w:rsid w:val="003E4BC0"/>
    <w:rsid w:val="003E504F"/>
    <w:rsid w:val="003E6637"/>
    <w:rsid w:val="003E6E98"/>
    <w:rsid w:val="003E757C"/>
    <w:rsid w:val="003F00F2"/>
    <w:rsid w:val="003F0C1C"/>
    <w:rsid w:val="003F0D11"/>
    <w:rsid w:val="003F0D85"/>
    <w:rsid w:val="003F10C3"/>
    <w:rsid w:val="003F11FE"/>
    <w:rsid w:val="003F142F"/>
    <w:rsid w:val="003F157A"/>
    <w:rsid w:val="003F245D"/>
    <w:rsid w:val="003F2AB2"/>
    <w:rsid w:val="003F32D8"/>
    <w:rsid w:val="003F4E5D"/>
    <w:rsid w:val="003F5814"/>
    <w:rsid w:val="003F5B67"/>
    <w:rsid w:val="003F6100"/>
    <w:rsid w:val="003F64EB"/>
    <w:rsid w:val="003F72D2"/>
    <w:rsid w:val="003F7FB4"/>
    <w:rsid w:val="00400508"/>
    <w:rsid w:val="00401217"/>
    <w:rsid w:val="0040137C"/>
    <w:rsid w:val="0040156C"/>
    <w:rsid w:val="004018B0"/>
    <w:rsid w:val="00401C94"/>
    <w:rsid w:val="00402041"/>
    <w:rsid w:val="0040249C"/>
    <w:rsid w:val="004027F2"/>
    <w:rsid w:val="00402E77"/>
    <w:rsid w:val="00403939"/>
    <w:rsid w:val="00403956"/>
    <w:rsid w:val="00403BC3"/>
    <w:rsid w:val="00403C17"/>
    <w:rsid w:val="00403EBF"/>
    <w:rsid w:val="0040424E"/>
    <w:rsid w:val="004053C9"/>
    <w:rsid w:val="00405935"/>
    <w:rsid w:val="00406274"/>
    <w:rsid w:val="00407056"/>
    <w:rsid w:val="004072F4"/>
    <w:rsid w:val="004078EF"/>
    <w:rsid w:val="00407AEF"/>
    <w:rsid w:val="004100D1"/>
    <w:rsid w:val="00410240"/>
    <w:rsid w:val="004106FC"/>
    <w:rsid w:val="00410FF6"/>
    <w:rsid w:val="0041102A"/>
    <w:rsid w:val="0041157B"/>
    <w:rsid w:val="00411CCB"/>
    <w:rsid w:val="00412714"/>
    <w:rsid w:val="00412A8F"/>
    <w:rsid w:val="00412D3D"/>
    <w:rsid w:val="00413AB9"/>
    <w:rsid w:val="00413AF3"/>
    <w:rsid w:val="00413C86"/>
    <w:rsid w:val="0041411A"/>
    <w:rsid w:val="004141D2"/>
    <w:rsid w:val="00414755"/>
    <w:rsid w:val="00414793"/>
    <w:rsid w:val="00414BD5"/>
    <w:rsid w:val="00414CAE"/>
    <w:rsid w:val="004151C6"/>
    <w:rsid w:val="0041524F"/>
    <w:rsid w:val="00415286"/>
    <w:rsid w:val="004157AE"/>
    <w:rsid w:val="00415FCF"/>
    <w:rsid w:val="00416998"/>
    <w:rsid w:val="00416BBE"/>
    <w:rsid w:val="00416D22"/>
    <w:rsid w:val="00416E4E"/>
    <w:rsid w:val="0041781A"/>
    <w:rsid w:val="00417D8E"/>
    <w:rsid w:val="00417F85"/>
    <w:rsid w:val="0042067C"/>
    <w:rsid w:val="00420702"/>
    <w:rsid w:val="00421849"/>
    <w:rsid w:val="00421A37"/>
    <w:rsid w:val="00421DD1"/>
    <w:rsid w:val="004223D3"/>
    <w:rsid w:val="0042412C"/>
    <w:rsid w:val="00424168"/>
    <w:rsid w:val="004261D4"/>
    <w:rsid w:val="004265E4"/>
    <w:rsid w:val="004268DB"/>
    <w:rsid w:val="00426C37"/>
    <w:rsid w:val="00426D26"/>
    <w:rsid w:val="00426E2C"/>
    <w:rsid w:val="00427646"/>
    <w:rsid w:val="00427DF8"/>
    <w:rsid w:val="00430845"/>
    <w:rsid w:val="00431C3F"/>
    <w:rsid w:val="004322A5"/>
    <w:rsid w:val="004324D2"/>
    <w:rsid w:val="00432B73"/>
    <w:rsid w:val="00432F37"/>
    <w:rsid w:val="00432F98"/>
    <w:rsid w:val="004331D6"/>
    <w:rsid w:val="0043321D"/>
    <w:rsid w:val="004334C9"/>
    <w:rsid w:val="004339C4"/>
    <w:rsid w:val="00433DA6"/>
    <w:rsid w:val="004344BA"/>
    <w:rsid w:val="004346F6"/>
    <w:rsid w:val="004349B1"/>
    <w:rsid w:val="00434D1E"/>
    <w:rsid w:val="0043546B"/>
    <w:rsid w:val="0043567C"/>
    <w:rsid w:val="00435ECA"/>
    <w:rsid w:val="00436377"/>
    <w:rsid w:val="00436C61"/>
    <w:rsid w:val="00437137"/>
    <w:rsid w:val="004377DB"/>
    <w:rsid w:val="00437ACB"/>
    <w:rsid w:val="00437D0F"/>
    <w:rsid w:val="004408CB"/>
    <w:rsid w:val="004409BF"/>
    <w:rsid w:val="00440AA3"/>
    <w:rsid w:val="00440BB9"/>
    <w:rsid w:val="00441149"/>
    <w:rsid w:val="0044159F"/>
    <w:rsid w:val="00441893"/>
    <w:rsid w:val="00441BB4"/>
    <w:rsid w:val="00441D78"/>
    <w:rsid w:val="00442536"/>
    <w:rsid w:val="00442561"/>
    <w:rsid w:val="004428B2"/>
    <w:rsid w:val="00442D4C"/>
    <w:rsid w:val="00442F86"/>
    <w:rsid w:val="00443334"/>
    <w:rsid w:val="004434F0"/>
    <w:rsid w:val="00443BF0"/>
    <w:rsid w:val="00443FEB"/>
    <w:rsid w:val="00444106"/>
    <w:rsid w:val="004442A9"/>
    <w:rsid w:val="004442C2"/>
    <w:rsid w:val="00444C67"/>
    <w:rsid w:val="004456D6"/>
    <w:rsid w:val="00445DD9"/>
    <w:rsid w:val="00446141"/>
    <w:rsid w:val="004461B2"/>
    <w:rsid w:val="00446424"/>
    <w:rsid w:val="004465F1"/>
    <w:rsid w:val="004466BE"/>
    <w:rsid w:val="004466D4"/>
    <w:rsid w:val="004466DD"/>
    <w:rsid w:val="00446C5F"/>
    <w:rsid w:val="004507F3"/>
    <w:rsid w:val="004514A3"/>
    <w:rsid w:val="0045156B"/>
    <w:rsid w:val="004517FF"/>
    <w:rsid w:val="00451802"/>
    <w:rsid w:val="00451914"/>
    <w:rsid w:val="00451A36"/>
    <w:rsid w:val="00452F0E"/>
    <w:rsid w:val="00453E56"/>
    <w:rsid w:val="004541BD"/>
    <w:rsid w:val="004544E7"/>
    <w:rsid w:val="0045458E"/>
    <w:rsid w:val="00454C34"/>
    <w:rsid w:val="00454DEE"/>
    <w:rsid w:val="00454F73"/>
    <w:rsid w:val="00455232"/>
    <w:rsid w:val="004556BA"/>
    <w:rsid w:val="004557CC"/>
    <w:rsid w:val="00455D5C"/>
    <w:rsid w:val="004571F9"/>
    <w:rsid w:val="004575E8"/>
    <w:rsid w:val="00457AA3"/>
    <w:rsid w:val="00460475"/>
    <w:rsid w:val="00460477"/>
    <w:rsid w:val="0046066F"/>
    <w:rsid w:val="004613E9"/>
    <w:rsid w:val="004619BA"/>
    <w:rsid w:val="00461BCB"/>
    <w:rsid w:val="00461BE1"/>
    <w:rsid w:val="004620C5"/>
    <w:rsid w:val="004625E3"/>
    <w:rsid w:val="004627AB"/>
    <w:rsid w:val="00462E30"/>
    <w:rsid w:val="004636E3"/>
    <w:rsid w:val="004637D8"/>
    <w:rsid w:val="00463CF1"/>
    <w:rsid w:val="00463DB3"/>
    <w:rsid w:val="00464103"/>
    <w:rsid w:val="004643EE"/>
    <w:rsid w:val="00464E55"/>
    <w:rsid w:val="00465827"/>
    <w:rsid w:val="00465A44"/>
    <w:rsid w:val="00465D32"/>
    <w:rsid w:val="004662D2"/>
    <w:rsid w:val="00466C62"/>
    <w:rsid w:val="00466E73"/>
    <w:rsid w:val="00467C13"/>
    <w:rsid w:val="00470037"/>
    <w:rsid w:val="00470053"/>
    <w:rsid w:val="004704DA"/>
    <w:rsid w:val="004716AE"/>
    <w:rsid w:val="00471757"/>
    <w:rsid w:val="004717B8"/>
    <w:rsid w:val="00471D44"/>
    <w:rsid w:val="00473375"/>
    <w:rsid w:val="004735D5"/>
    <w:rsid w:val="00473694"/>
    <w:rsid w:val="00473874"/>
    <w:rsid w:val="00473944"/>
    <w:rsid w:val="00473D77"/>
    <w:rsid w:val="00473F40"/>
    <w:rsid w:val="00474EB4"/>
    <w:rsid w:val="00475557"/>
    <w:rsid w:val="004759E9"/>
    <w:rsid w:val="00475B9D"/>
    <w:rsid w:val="004770EC"/>
    <w:rsid w:val="00477858"/>
    <w:rsid w:val="00477C27"/>
    <w:rsid w:val="00480808"/>
    <w:rsid w:val="00480F0E"/>
    <w:rsid w:val="00481021"/>
    <w:rsid w:val="00481335"/>
    <w:rsid w:val="00481A14"/>
    <w:rsid w:val="00481BC3"/>
    <w:rsid w:val="00481ECD"/>
    <w:rsid w:val="00482214"/>
    <w:rsid w:val="004824B4"/>
    <w:rsid w:val="004838B8"/>
    <w:rsid w:val="004848C1"/>
    <w:rsid w:val="00484EB4"/>
    <w:rsid w:val="004856F3"/>
    <w:rsid w:val="004860E3"/>
    <w:rsid w:val="00486A5E"/>
    <w:rsid w:val="00486C51"/>
    <w:rsid w:val="00486E42"/>
    <w:rsid w:val="0048711E"/>
    <w:rsid w:val="004872A1"/>
    <w:rsid w:val="00487311"/>
    <w:rsid w:val="00487B97"/>
    <w:rsid w:val="00487C27"/>
    <w:rsid w:val="00487DB6"/>
    <w:rsid w:val="00490004"/>
    <w:rsid w:val="004902CD"/>
    <w:rsid w:val="0049033A"/>
    <w:rsid w:val="00490397"/>
    <w:rsid w:val="004904A0"/>
    <w:rsid w:val="004904C8"/>
    <w:rsid w:val="0049069B"/>
    <w:rsid w:val="0049081C"/>
    <w:rsid w:val="004908D8"/>
    <w:rsid w:val="00490C70"/>
    <w:rsid w:val="00491BBA"/>
    <w:rsid w:val="004920A8"/>
    <w:rsid w:val="004920C4"/>
    <w:rsid w:val="00492433"/>
    <w:rsid w:val="004928DB"/>
    <w:rsid w:val="00492C9D"/>
    <w:rsid w:val="00492D3E"/>
    <w:rsid w:val="0049388E"/>
    <w:rsid w:val="00493E37"/>
    <w:rsid w:val="00494343"/>
    <w:rsid w:val="00494871"/>
    <w:rsid w:val="004949A8"/>
    <w:rsid w:val="004952BD"/>
    <w:rsid w:val="00495510"/>
    <w:rsid w:val="00496262"/>
    <w:rsid w:val="0049629B"/>
    <w:rsid w:val="00496412"/>
    <w:rsid w:val="004968BD"/>
    <w:rsid w:val="00497667"/>
    <w:rsid w:val="004979BA"/>
    <w:rsid w:val="004A0754"/>
    <w:rsid w:val="004A0D07"/>
    <w:rsid w:val="004A1837"/>
    <w:rsid w:val="004A19BA"/>
    <w:rsid w:val="004A1F4C"/>
    <w:rsid w:val="004A2128"/>
    <w:rsid w:val="004A272C"/>
    <w:rsid w:val="004A294B"/>
    <w:rsid w:val="004A2F11"/>
    <w:rsid w:val="004A3507"/>
    <w:rsid w:val="004A3FFA"/>
    <w:rsid w:val="004A4287"/>
    <w:rsid w:val="004A4328"/>
    <w:rsid w:val="004A4A75"/>
    <w:rsid w:val="004A4CC0"/>
    <w:rsid w:val="004A4F7F"/>
    <w:rsid w:val="004A539E"/>
    <w:rsid w:val="004A57B9"/>
    <w:rsid w:val="004A5900"/>
    <w:rsid w:val="004A5C02"/>
    <w:rsid w:val="004A664C"/>
    <w:rsid w:val="004A6833"/>
    <w:rsid w:val="004A6A1A"/>
    <w:rsid w:val="004A72A0"/>
    <w:rsid w:val="004A734C"/>
    <w:rsid w:val="004A7375"/>
    <w:rsid w:val="004A7525"/>
    <w:rsid w:val="004A77C0"/>
    <w:rsid w:val="004B0484"/>
    <w:rsid w:val="004B0DF1"/>
    <w:rsid w:val="004B10F9"/>
    <w:rsid w:val="004B256F"/>
    <w:rsid w:val="004B2996"/>
    <w:rsid w:val="004B306F"/>
    <w:rsid w:val="004B3EAE"/>
    <w:rsid w:val="004B4025"/>
    <w:rsid w:val="004B435A"/>
    <w:rsid w:val="004B4976"/>
    <w:rsid w:val="004B4BD9"/>
    <w:rsid w:val="004B4C77"/>
    <w:rsid w:val="004B5477"/>
    <w:rsid w:val="004B6178"/>
    <w:rsid w:val="004B6E00"/>
    <w:rsid w:val="004B6FFC"/>
    <w:rsid w:val="004B72A4"/>
    <w:rsid w:val="004B775D"/>
    <w:rsid w:val="004B7A65"/>
    <w:rsid w:val="004B7D7F"/>
    <w:rsid w:val="004B7E04"/>
    <w:rsid w:val="004C0162"/>
    <w:rsid w:val="004C034A"/>
    <w:rsid w:val="004C0728"/>
    <w:rsid w:val="004C078E"/>
    <w:rsid w:val="004C09CB"/>
    <w:rsid w:val="004C0BB4"/>
    <w:rsid w:val="004C1165"/>
    <w:rsid w:val="004C1355"/>
    <w:rsid w:val="004C14C8"/>
    <w:rsid w:val="004C194C"/>
    <w:rsid w:val="004C1B9D"/>
    <w:rsid w:val="004C24F9"/>
    <w:rsid w:val="004C26CF"/>
    <w:rsid w:val="004C33D1"/>
    <w:rsid w:val="004C3BD3"/>
    <w:rsid w:val="004C3C87"/>
    <w:rsid w:val="004C457E"/>
    <w:rsid w:val="004C5156"/>
    <w:rsid w:val="004C5FA1"/>
    <w:rsid w:val="004C66D4"/>
    <w:rsid w:val="004C713C"/>
    <w:rsid w:val="004C7776"/>
    <w:rsid w:val="004C7F2A"/>
    <w:rsid w:val="004C7F93"/>
    <w:rsid w:val="004D0237"/>
    <w:rsid w:val="004D03CE"/>
    <w:rsid w:val="004D0935"/>
    <w:rsid w:val="004D09E2"/>
    <w:rsid w:val="004D0AD1"/>
    <w:rsid w:val="004D1365"/>
    <w:rsid w:val="004D1528"/>
    <w:rsid w:val="004D16A6"/>
    <w:rsid w:val="004D2272"/>
    <w:rsid w:val="004D2293"/>
    <w:rsid w:val="004D2748"/>
    <w:rsid w:val="004D278A"/>
    <w:rsid w:val="004D28EC"/>
    <w:rsid w:val="004D292E"/>
    <w:rsid w:val="004D2BA1"/>
    <w:rsid w:val="004D2D54"/>
    <w:rsid w:val="004D32F6"/>
    <w:rsid w:val="004D35D0"/>
    <w:rsid w:val="004D35F4"/>
    <w:rsid w:val="004D371E"/>
    <w:rsid w:val="004D3AB4"/>
    <w:rsid w:val="004D4525"/>
    <w:rsid w:val="004D4B4D"/>
    <w:rsid w:val="004D5738"/>
    <w:rsid w:val="004D5A1D"/>
    <w:rsid w:val="004D5A30"/>
    <w:rsid w:val="004D5E2D"/>
    <w:rsid w:val="004D5E90"/>
    <w:rsid w:val="004D643C"/>
    <w:rsid w:val="004D6C86"/>
    <w:rsid w:val="004D714C"/>
    <w:rsid w:val="004D7EA3"/>
    <w:rsid w:val="004E0963"/>
    <w:rsid w:val="004E0E4A"/>
    <w:rsid w:val="004E1908"/>
    <w:rsid w:val="004E1DF2"/>
    <w:rsid w:val="004E2056"/>
    <w:rsid w:val="004E2B67"/>
    <w:rsid w:val="004E2E34"/>
    <w:rsid w:val="004E3FCA"/>
    <w:rsid w:val="004E430D"/>
    <w:rsid w:val="004E51F1"/>
    <w:rsid w:val="004E5BC0"/>
    <w:rsid w:val="004E6611"/>
    <w:rsid w:val="004E7231"/>
    <w:rsid w:val="004E7573"/>
    <w:rsid w:val="004E7A34"/>
    <w:rsid w:val="004E7DCB"/>
    <w:rsid w:val="004F0586"/>
    <w:rsid w:val="004F0734"/>
    <w:rsid w:val="004F0994"/>
    <w:rsid w:val="004F0DEF"/>
    <w:rsid w:val="004F1212"/>
    <w:rsid w:val="004F1826"/>
    <w:rsid w:val="004F19EF"/>
    <w:rsid w:val="004F1D49"/>
    <w:rsid w:val="004F27DF"/>
    <w:rsid w:val="004F2826"/>
    <w:rsid w:val="004F3258"/>
    <w:rsid w:val="004F3768"/>
    <w:rsid w:val="004F3CEE"/>
    <w:rsid w:val="004F43A7"/>
    <w:rsid w:val="004F46C4"/>
    <w:rsid w:val="004F4881"/>
    <w:rsid w:val="004F52CC"/>
    <w:rsid w:val="004F5E1A"/>
    <w:rsid w:val="004F6259"/>
    <w:rsid w:val="004F6376"/>
    <w:rsid w:val="004F6B14"/>
    <w:rsid w:val="004F7AC9"/>
    <w:rsid w:val="004F7C89"/>
    <w:rsid w:val="004F7D6B"/>
    <w:rsid w:val="005000A2"/>
    <w:rsid w:val="00500A9D"/>
    <w:rsid w:val="00500E32"/>
    <w:rsid w:val="00500EEB"/>
    <w:rsid w:val="0050100E"/>
    <w:rsid w:val="0050113E"/>
    <w:rsid w:val="0050138D"/>
    <w:rsid w:val="005013F2"/>
    <w:rsid w:val="0050184E"/>
    <w:rsid w:val="00502C96"/>
    <w:rsid w:val="00502EF4"/>
    <w:rsid w:val="0050482D"/>
    <w:rsid w:val="005053FE"/>
    <w:rsid w:val="005066AF"/>
    <w:rsid w:val="00507115"/>
    <w:rsid w:val="00510C35"/>
    <w:rsid w:val="00510FA9"/>
    <w:rsid w:val="005113ED"/>
    <w:rsid w:val="005115CC"/>
    <w:rsid w:val="00511718"/>
    <w:rsid w:val="00511DDA"/>
    <w:rsid w:val="00511E97"/>
    <w:rsid w:val="005122EE"/>
    <w:rsid w:val="00512BEF"/>
    <w:rsid w:val="00513600"/>
    <w:rsid w:val="0051390C"/>
    <w:rsid w:val="005145ED"/>
    <w:rsid w:val="00514F8A"/>
    <w:rsid w:val="0051511B"/>
    <w:rsid w:val="0051586C"/>
    <w:rsid w:val="00515979"/>
    <w:rsid w:val="00515C29"/>
    <w:rsid w:val="005168E1"/>
    <w:rsid w:val="00516EA0"/>
    <w:rsid w:val="005173FD"/>
    <w:rsid w:val="005179CD"/>
    <w:rsid w:val="00517B3B"/>
    <w:rsid w:val="00517E43"/>
    <w:rsid w:val="00520069"/>
    <w:rsid w:val="0052105C"/>
    <w:rsid w:val="00521711"/>
    <w:rsid w:val="00521847"/>
    <w:rsid w:val="00521A48"/>
    <w:rsid w:val="00521AA4"/>
    <w:rsid w:val="00521BF1"/>
    <w:rsid w:val="00522BD7"/>
    <w:rsid w:val="0052329D"/>
    <w:rsid w:val="00523502"/>
    <w:rsid w:val="00523563"/>
    <w:rsid w:val="00523812"/>
    <w:rsid w:val="005238CF"/>
    <w:rsid w:val="00523D3E"/>
    <w:rsid w:val="005248ED"/>
    <w:rsid w:val="00524FA4"/>
    <w:rsid w:val="00525051"/>
    <w:rsid w:val="005256CF"/>
    <w:rsid w:val="00525DF3"/>
    <w:rsid w:val="00526214"/>
    <w:rsid w:val="00526838"/>
    <w:rsid w:val="005269FE"/>
    <w:rsid w:val="00526DE2"/>
    <w:rsid w:val="0052702F"/>
    <w:rsid w:val="005277AA"/>
    <w:rsid w:val="005278B5"/>
    <w:rsid w:val="00530505"/>
    <w:rsid w:val="005307DC"/>
    <w:rsid w:val="00530A13"/>
    <w:rsid w:val="005311D2"/>
    <w:rsid w:val="005322CE"/>
    <w:rsid w:val="005325E5"/>
    <w:rsid w:val="005328BD"/>
    <w:rsid w:val="005330E3"/>
    <w:rsid w:val="0053433E"/>
    <w:rsid w:val="005344DE"/>
    <w:rsid w:val="00534AA3"/>
    <w:rsid w:val="00534AB3"/>
    <w:rsid w:val="00534C43"/>
    <w:rsid w:val="00535073"/>
    <w:rsid w:val="0053518C"/>
    <w:rsid w:val="005353E2"/>
    <w:rsid w:val="0053556B"/>
    <w:rsid w:val="00535CB1"/>
    <w:rsid w:val="005369BA"/>
    <w:rsid w:val="005369F7"/>
    <w:rsid w:val="00536EFA"/>
    <w:rsid w:val="005370CA"/>
    <w:rsid w:val="00537E6E"/>
    <w:rsid w:val="0054014E"/>
    <w:rsid w:val="0054015F"/>
    <w:rsid w:val="00540505"/>
    <w:rsid w:val="00540AF6"/>
    <w:rsid w:val="00541854"/>
    <w:rsid w:val="005429FE"/>
    <w:rsid w:val="00542A08"/>
    <w:rsid w:val="00542D09"/>
    <w:rsid w:val="00543380"/>
    <w:rsid w:val="005433FD"/>
    <w:rsid w:val="00543525"/>
    <w:rsid w:val="00543734"/>
    <w:rsid w:val="00543953"/>
    <w:rsid w:val="00543D2C"/>
    <w:rsid w:val="00543FF2"/>
    <w:rsid w:val="005448C0"/>
    <w:rsid w:val="00544BC7"/>
    <w:rsid w:val="00544D57"/>
    <w:rsid w:val="00544EC2"/>
    <w:rsid w:val="005451EC"/>
    <w:rsid w:val="00545424"/>
    <w:rsid w:val="00545461"/>
    <w:rsid w:val="00545830"/>
    <w:rsid w:val="00545FB4"/>
    <w:rsid w:val="0054636D"/>
    <w:rsid w:val="00546490"/>
    <w:rsid w:val="00546B80"/>
    <w:rsid w:val="0054710C"/>
    <w:rsid w:val="005479B9"/>
    <w:rsid w:val="00547C44"/>
    <w:rsid w:val="0055032A"/>
    <w:rsid w:val="00550D7C"/>
    <w:rsid w:val="0055138D"/>
    <w:rsid w:val="00551CAD"/>
    <w:rsid w:val="005521DE"/>
    <w:rsid w:val="0055220A"/>
    <w:rsid w:val="0055265A"/>
    <w:rsid w:val="005528F8"/>
    <w:rsid w:val="00553560"/>
    <w:rsid w:val="0055364A"/>
    <w:rsid w:val="005536A7"/>
    <w:rsid w:val="00553774"/>
    <w:rsid w:val="00553B16"/>
    <w:rsid w:val="00553B42"/>
    <w:rsid w:val="00554534"/>
    <w:rsid w:val="00554751"/>
    <w:rsid w:val="00554DC8"/>
    <w:rsid w:val="0055506C"/>
    <w:rsid w:val="005555BF"/>
    <w:rsid w:val="00555D70"/>
    <w:rsid w:val="0055671D"/>
    <w:rsid w:val="00556AC2"/>
    <w:rsid w:val="00556EA1"/>
    <w:rsid w:val="0055761E"/>
    <w:rsid w:val="0056011F"/>
    <w:rsid w:val="00561078"/>
    <w:rsid w:val="00561271"/>
    <w:rsid w:val="00561859"/>
    <w:rsid w:val="00561A0C"/>
    <w:rsid w:val="00561BCA"/>
    <w:rsid w:val="0056288A"/>
    <w:rsid w:val="00562C11"/>
    <w:rsid w:val="00563DA2"/>
    <w:rsid w:val="0056425F"/>
    <w:rsid w:val="00565133"/>
    <w:rsid w:val="0056522A"/>
    <w:rsid w:val="00565B42"/>
    <w:rsid w:val="005662DC"/>
    <w:rsid w:val="00566D6A"/>
    <w:rsid w:val="00566F09"/>
    <w:rsid w:val="00567210"/>
    <w:rsid w:val="00567228"/>
    <w:rsid w:val="005675C3"/>
    <w:rsid w:val="00567619"/>
    <w:rsid w:val="00567989"/>
    <w:rsid w:val="00567B6F"/>
    <w:rsid w:val="005700BA"/>
    <w:rsid w:val="005701D9"/>
    <w:rsid w:val="0057029D"/>
    <w:rsid w:val="00570615"/>
    <w:rsid w:val="00570A3D"/>
    <w:rsid w:val="00571BB3"/>
    <w:rsid w:val="00571F25"/>
    <w:rsid w:val="00572850"/>
    <w:rsid w:val="0057342B"/>
    <w:rsid w:val="0057531A"/>
    <w:rsid w:val="00575E99"/>
    <w:rsid w:val="00576257"/>
    <w:rsid w:val="0057647C"/>
    <w:rsid w:val="005805A8"/>
    <w:rsid w:val="00580601"/>
    <w:rsid w:val="00581464"/>
    <w:rsid w:val="00581DF6"/>
    <w:rsid w:val="00581ED2"/>
    <w:rsid w:val="00581FB2"/>
    <w:rsid w:val="00582247"/>
    <w:rsid w:val="005822A7"/>
    <w:rsid w:val="00582504"/>
    <w:rsid w:val="00582634"/>
    <w:rsid w:val="0058265B"/>
    <w:rsid w:val="00582E61"/>
    <w:rsid w:val="00582EAA"/>
    <w:rsid w:val="0058330F"/>
    <w:rsid w:val="0058343D"/>
    <w:rsid w:val="005838D9"/>
    <w:rsid w:val="00583B37"/>
    <w:rsid w:val="00583CFA"/>
    <w:rsid w:val="00583E9A"/>
    <w:rsid w:val="0058419E"/>
    <w:rsid w:val="005843A4"/>
    <w:rsid w:val="00584558"/>
    <w:rsid w:val="005849B6"/>
    <w:rsid w:val="00584C3C"/>
    <w:rsid w:val="005850BE"/>
    <w:rsid w:val="00585300"/>
    <w:rsid w:val="0058579D"/>
    <w:rsid w:val="00585959"/>
    <w:rsid w:val="00585C9B"/>
    <w:rsid w:val="00586555"/>
    <w:rsid w:val="0058706F"/>
    <w:rsid w:val="00590621"/>
    <w:rsid w:val="00590E4C"/>
    <w:rsid w:val="00590F9D"/>
    <w:rsid w:val="00591373"/>
    <w:rsid w:val="00591EEB"/>
    <w:rsid w:val="005924B4"/>
    <w:rsid w:val="00592A2D"/>
    <w:rsid w:val="00592E2D"/>
    <w:rsid w:val="00592E44"/>
    <w:rsid w:val="00593099"/>
    <w:rsid w:val="005930F8"/>
    <w:rsid w:val="0059332E"/>
    <w:rsid w:val="00593347"/>
    <w:rsid w:val="00593535"/>
    <w:rsid w:val="00593546"/>
    <w:rsid w:val="005935F5"/>
    <w:rsid w:val="005938E0"/>
    <w:rsid w:val="00593D12"/>
    <w:rsid w:val="00593E56"/>
    <w:rsid w:val="00594292"/>
    <w:rsid w:val="00594AAA"/>
    <w:rsid w:val="00595170"/>
    <w:rsid w:val="00595551"/>
    <w:rsid w:val="0059566A"/>
    <w:rsid w:val="00595D29"/>
    <w:rsid w:val="005962BF"/>
    <w:rsid w:val="005965F7"/>
    <w:rsid w:val="0059678B"/>
    <w:rsid w:val="00597126"/>
    <w:rsid w:val="00597133"/>
    <w:rsid w:val="00597266"/>
    <w:rsid w:val="00597E93"/>
    <w:rsid w:val="005A0367"/>
    <w:rsid w:val="005A0AC0"/>
    <w:rsid w:val="005A0D2A"/>
    <w:rsid w:val="005A13DB"/>
    <w:rsid w:val="005A1CEF"/>
    <w:rsid w:val="005A2109"/>
    <w:rsid w:val="005A2115"/>
    <w:rsid w:val="005A237B"/>
    <w:rsid w:val="005A28E5"/>
    <w:rsid w:val="005A2A2C"/>
    <w:rsid w:val="005A3259"/>
    <w:rsid w:val="005A3A25"/>
    <w:rsid w:val="005A3B0C"/>
    <w:rsid w:val="005A3DA5"/>
    <w:rsid w:val="005A4423"/>
    <w:rsid w:val="005A454D"/>
    <w:rsid w:val="005A5557"/>
    <w:rsid w:val="005A579E"/>
    <w:rsid w:val="005A5F01"/>
    <w:rsid w:val="005A6051"/>
    <w:rsid w:val="005A6781"/>
    <w:rsid w:val="005A7838"/>
    <w:rsid w:val="005A78B3"/>
    <w:rsid w:val="005A791A"/>
    <w:rsid w:val="005A796F"/>
    <w:rsid w:val="005A7D2D"/>
    <w:rsid w:val="005B00B6"/>
    <w:rsid w:val="005B0D17"/>
    <w:rsid w:val="005B0EA7"/>
    <w:rsid w:val="005B240F"/>
    <w:rsid w:val="005B2586"/>
    <w:rsid w:val="005B3474"/>
    <w:rsid w:val="005B3610"/>
    <w:rsid w:val="005B36B8"/>
    <w:rsid w:val="005B3B35"/>
    <w:rsid w:val="005B488F"/>
    <w:rsid w:val="005B5521"/>
    <w:rsid w:val="005B577C"/>
    <w:rsid w:val="005B65FD"/>
    <w:rsid w:val="005B681D"/>
    <w:rsid w:val="005B6A86"/>
    <w:rsid w:val="005B73C7"/>
    <w:rsid w:val="005B752D"/>
    <w:rsid w:val="005B7CE2"/>
    <w:rsid w:val="005C0C68"/>
    <w:rsid w:val="005C0E27"/>
    <w:rsid w:val="005C11EB"/>
    <w:rsid w:val="005C1385"/>
    <w:rsid w:val="005C174E"/>
    <w:rsid w:val="005C19A3"/>
    <w:rsid w:val="005C1B3F"/>
    <w:rsid w:val="005C2F2F"/>
    <w:rsid w:val="005C31EC"/>
    <w:rsid w:val="005C32ED"/>
    <w:rsid w:val="005C3518"/>
    <w:rsid w:val="005C42D0"/>
    <w:rsid w:val="005C4B68"/>
    <w:rsid w:val="005C4CDA"/>
    <w:rsid w:val="005C4F76"/>
    <w:rsid w:val="005C573B"/>
    <w:rsid w:val="005C57A5"/>
    <w:rsid w:val="005C5CB3"/>
    <w:rsid w:val="005C5F0A"/>
    <w:rsid w:val="005C6468"/>
    <w:rsid w:val="005C6BB9"/>
    <w:rsid w:val="005C6FFD"/>
    <w:rsid w:val="005C70E0"/>
    <w:rsid w:val="005C7798"/>
    <w:rsid w:val="005C79B2"/>
    <w:rsid w:val="005C7B16"/>
    <w:rsid w:val="005C7CF2"/>
    <w:rsid w:val="005D0260"/>
    <w:rsid w:val="005D127E"/>
    <w:rsid w:val="005D12E2"/>
    <w:rsid w:val="005D1395"/>
    <w:rsid w:val="005D146E"/>
    <w:rsid w:val="005D17AE"/>
    <w:rsid w:val="005D1BEC"/>
    <w:rsid w:val="005D2317"/>
    <w:rsid w:val="005D2322"/>
    <w:rsid w:val="005D2645"/>
    <w:rsid w:val="005D27F0"/>
    <w:rsid w:val="005D2D16"/>
    <w:rsid w:val="005D36D0"/>
    <w:rsid w:val="005D3894"/>
    <w:rsid w:val="005D3EAE"/>
    <w:rsid w:val="005D3EDE"/>
    <w:rsid w:val="005D4310"/>
    <w:rsid w:val="005D4601"/>
    <w:rsid w:val="005D4A54"/>
    <w:rsid w:val="005D4C67"/>
    <w:rsid w:val="005D5AE2"/>
    <w:rsid w:val="005D7572"/>
    <w:rsid w:val="005D77E9"/>
    <w:rsid w:val="005D7DEF"/>
    <w:rsid w:val="005E0320"/>
    <w:rsid w:val="005E0C22"/>
    <w:rsid w:val="005E0D31"/>
    <w:rsid w:val="005E15EB"/>
    <w:rsid w:val="005E17F9"/>
    <w:rsid w:val="005E1FA3"/>
    <w:rsid w:val="005E2A85"/>
    <w:rsid w:val="005E3F4C"/>
    <w:rsid w:val="005E4044"/>
    <w:rsid w:val="005E4268"/>
    <w:rsid w:val="005E47CB"/>
    <w:rsid w:val="005E4A7A"/>
    <w:rsid w:val="005E5347"/>
    <w:rsid w:val="005E7272"/>
    <w:rsid w:val="005E7391"/>
    <w:rsid w:val="005E7517"/>
    <w:rsid w:val="005E7BA2"/>
    <w:rsid w:val="005F00E4"/>
    <w:rsid w:val="005F0F51"/>
    <w:rsid w:val="005F138C"/>
    <w:rsid w:val="005F1533"/>
    <w:rsid w:val="005F1E9B"/>
    <w:rsid w:val="005F1F53"/>
    <w:rsid w:val="005F2053"/>
    <w:rsid w:val="005F2ACC"/>
    <w:rsid w:val="005F30F7"/>
    <w:rsid w:val="005F337C"/>
    <w:rsid w:val="005F396A"/>
    <w:rsid w:val="005F3D2C"/>
    <w:rsid w:val="005F3D95"/>
    <w:rsid w:val="005F4116"/>
    <w:rsid w:val="005F4265"/>
    <w:rsid w:val="005F495C"/>
    <w:rsid w:val="005F4D8B"/>
    <w:rsid w:val="005F575B"/>
    <w:rsid w:val="005F5F4C"/>
    <w:rsid w:val="005F5FC7"/>
    <w:rsid w:val="005F6275"/>
    <w:rsid w:val="005F6753"/>
    <w:rsid w:val="005F6831"/>
    <w:rsid w:val="005F6D98"/>
    <w:rsid w:val="005F7799"/>
    <w:rsid w:val="005F790E"/>
    <w:rsid w:val="005F7A5E"/>
    <w:rsid w:val="006000F3"/>
    <w:rsid w:val="00600C5C"/>
    <w:rsid w:val="00601372"/>
    <w:rsid w:val="006013C0"/>
    <w:rsid w:val="00601ABB"/>
    <w:rsid w:val="00601CFE"/>
    <w:rsid w:val="006020C5"/>
    <w:rsid w:val="0060215A"/>
    <w:rsid w:val="00602189"/>
    <w:rsid w:val="00602783"/>
    <w:rsid w:val="00602F48"/>
    <w:rsid w:val="006031F6"/>
    <w:rsid w:val="0060346D"/>
    <w:rsid w:val="00603B0B"/>
    <w:rsid w:val="00603E89"/>
    <w:rsid w:val="00603FB1"/>
    <w:rsid w:val="00604048"/>
    <w:rsid w:val="0060451F"/>
    <w:rsid w:val="006045FD"/>
    <w:rsid w:val="0060493C"/>
    <w:rsid w:val="00604B5E"/>
    <w:rsid w:val="006052EA"/>
    <w:rsid w:val="006053FB"/>
    <w:rsid w:val="00605511"/>
    <w:rsid w:val="00605B60"/>
    <w:rsid w:val="00605DFC"/>
    <w:rsid w:val="0060744E"/>
    <w:rsid w:val="006100A4"/>
    <w:rsid w:val="006104AF"/>
    <w:rsid w:val="0061074E"/>
    <w:rsid w:val="00610C79"/>
    <w:rsid w:val="00610FF0"/>
    <w:rsid w:val="006113E8"/>
    <w:rsid w:val="006119A5"/>
    <w:rsid w:val="006119DE"/>
    <w:rsid w:val="00611A14"/>
    <w:rsid w:val="006122DD"/>
    <w:rsid w:val="006131DC"/>
    <w:rsid w:val="006134EB"/>
    <w:rsid w:val="00613A3B"/>
    <w:rsid w:val="0061412B"/>
    <w:rsid w:val="0061414E"/>
    <w:rsid w:val="006149C9"/>
    <w:rsid w:val="00614D56"/>
    <w:rsid w:val="0061502F"/>
    <w:rsid w:val="006151EE"/>
    <w:rsid w:val="00615571"/>
    <w:rsid w:val="0061574F"/>
    <w:rsid w:val="00616144"/>
    <w:rsid w:val="006174BD"/>
    <w:rsid w:val="00617BF9"/>
    <w:rsid w:val="00617D2B"/>
    <w:rsid w:val="00620314"/>
    <w:rsid w:val="00620792"/>
    <w:rsid w:val="0062157A"/>
    <w:rsid w:val="0062166B"/>
    <w:rsid w:val="00621C28"/>
    <w:rsid w:val="00621D73"/>
    <w:rsid w:val="00621E58"/>
    <w:rsid w:val="00622406"/>
    <w:rsid w:val="00622D03"/>
    <w:rsid w:val="00623193"/>
    <w:rsid w:val="006241A8"/>
    <w:rsid w:val="006245C9"/>
    <w:rsid w:val="00624DA8"/>
    <w:rsid w:val="00624EF2"/>
    <w:rsid w:val="006252A7"/>
    <w:rsid w:val="006255C4"/>
    <w:rsid w:val="006259AD"/>
    <w:rsid w:val="00626710"/>
    <w:rsid w:val="00626A75"/>
    <w:rsid w:val="00626AE7"/>
    <w:rsid w:val="00626B54"/>
    <w:rsid w:val="00626D71"/>
    <w:rsid w:val="0062726F"/>
    <w:rsid w:val="006279CB"/>
    <w:rsid w:val="00627B19"/>
    <w:rsid w:val="00627E29"/>
    <w:rsid w:val="0063056D"/>
    <w:rsid w:val="0063068F"/>
    <w:rsid w:val="0063070D"/>
    <w:rsid w:val="006307B3"/>
    <w:rsid w:val="0063081A"/>
    <w:rsid w:val="00630C13"/>
    <w:rsid w:val="00630EDD"/>
    <w:rsid w:val="00631114"/>
    <w:rsid w:val="0063113C"/>
    <w:rsid w:val="00631498"/>
    <w:rsid w:val="006315C0"/>
    <w:rsid w:val="00632C64"/>
    <w:rsid w:val="00632EFE"/>
    <w:rsid w:val="00632F99"/>
    <w:rsid w:val="00632FCD"/>
    <w:rsid w:val="006330B4"/>
    <w:rsid w:val="00633784"/>
    <w:rsid w:val="00634386"/>
    <w:rsid w:val="006355A8"/>
    <w:rsid w:val="00635CF7"/>
    <w:rsid w:val="00635D0B"/>
    <w:rsid w:val="00635F30"/>
    <w:rsid w:val="006363F6"/>
    <w:rsid w:val="0063685B"/>
    <w:rsid w:val="0063717D"/>
    <w:rsid w:val="00637F03"/>
    <w:rsid w:val="00637F0C"/>
    <w:rsid w:val="00640428"/>
    <w:rsid w:val="00640A53"/>
    <w:rsid w:val="00640D7A"/>
    <w:rsid w:val="00640E3B"/>
    <w:rsid w:val="006419FD"/>
    <w:rsid w:val="00642548"/>
    <w:rsid w:val="00642624"/>
    <w:rsid w:val="006437BB"/>
    <w:rsid w:val="00643921"/>
    <w:rsid w:val="00643A6C"/>
    <w:rsid w:val="00643B39"/>
    <w:rsid w:val="00643CC0"/>
    <w:rsid w:val="0064460A"/>
    <w:rsid w:val="00644800"/>
    <w:rsid w:val="00644902"/>
    <w:rsid w:val="0064494B"/>
    <w:rsid w:val="006458E4"/>
    <w:rsid w:val="00645A7B"/>
    <w:rsid w:val="00645DEC"/>
    <w:rsid w:val="0064634E"/>
    <w:rsid w:val="006465BD"/>
    <w:rsid w:val="00646633"/>
    <w:rsid w:val="00646726"/>
    <w:rsid w:val="006468DD"/>
    <w:rsid w:val="00646A2D"/>
    <w:rsid w:val="00646C95"/>
    <w:rsid w:val="00646CD3"/>
    <w:rsid w:val="006473C2"/>
    <w:rsid w:val="00647A73"/>
    <w:rsid w:val="00647D79"/>
    <w:rsid w:val="00647E02"/>
    <w:rsid w:val="006505A3"/>
    <w:rsid w:val="00650D08"/>
    <w:rsid w:val="00651125"/>
    <w:rsid w:val="00651347"/>
    <w:rsid w:val="006514DC"/>
    <w:rsid w:val="0065238B"/>
    <w:rsid w:val="006529F4"/>
    <w:rsid w:val="0065365C"/>
    <w:rsid w:val="00653A60"/>
    <w:rsid w:val="00653DF5"/>
    <w:rsid w:val="00653E68"/>
    <w:rsid w:val="00654034"/>
    <w:rsid w:val="00654876"/>
    <w:rsid w:val="006548D2"/>
    <w:rsid w:val="00654A36"/>
    <w:rsid w:val="00654A93"/>
    <w:rsid w:val="00654ABD"/>
    <w:rsid w:val="006551F9"/>
    <w:rsid w:val="00655C99"/>
    <w:rsid w:val="00655DFE"/>
    <w:rsid w:val="00655F0F"/>
    <w:rsid w:val="00655F31"/>
    <w:rsid w:val="006562F8"/>
    <w:rsid w:val="00657552"/>
    <w:rsid w:val="006576C7"/>
    <w:rsid w:val="00657D5C"/>
    <w:rsid w:val="00660229"/>
    <w:rsid w:val="006608BE"/>
    <w:rsid w:val="00660B16"/>
    <w:rsid w:val="00661721"/>
    <w:rsid w:val="00661A56"/>
    <w:rsid w:val="00662AFE"/>
    <w:rsid w:val="00662BCF"/>
    <w:rsid w:val="00662CBD"/>
    <w:rsid w:val="00663113"/>
    <w:rsid w:val="006635BD"/>
    <w:rsid w:val="0066371B"/>
    <w:rsid w:val="00663A9F"/>
    <w:rsid w:val="00663BC2"/>
    <w:rsid w:val="00663F3E"/>
    <w:rsid w:val="0066402E"/>
    <w:rsid w:val="00664DB1"/>
    <w:rsid w:val="006653E8"/>
    <w:rsid w:val="00665ADF"/>
    <w:rsid w:val="00665E63"/>
    <w:rsid w:val="00666CE4"/>
    <w:rsid w:val="00667696"/>
    <w:rsid w:val="00667914"/>
    <w:rsid w:val="0067001C"/>
    <w:rsid w:val="00670402"/>
    <w:rsid w:val="0067044A"/>
    <w:rsid w:val="00670B93"/>
    <w:rsid w:val="00670D15"/>
    <w:rsid w:val="00670E52"/>
    <w:rsid w:val="006711B2"/>
    <w:rsid w:val="00671510"/>
    <w:rsid w:val="0067179D"/>
    <w:rsid w:val="00671C48"/>
    <w:rsid w:val="00671CF5"/>
    <w:rsid w:val="00671F7C"/>
    <w:rsid w:val="006720A3"/>
    <w:rsid w:val="0067220E"/>
    <w:rsid w:val="006722F7"/>
    <w:rsid w:val="00672416"/>
    <w:rsid w:val="006724EA"/>
    <w:rsid w:val="00673468"/>
    <w:rsid w:val="00673AA5"/>
    <w:rsid w:val="00673EC7"/>
    <w:rsid w:val="00674546"/>
    <w:rsid w:val="0067458F"/>
    <w:rsid w:val="006745A5"/>
    <w:rsid w:val="00674618"/>
    <w:rsid w:val="0067574E"/>
    <w:rsid w:val="0067586E"/>
    <w:rsid w:val="00675E83"/>
    <w:rsid w:val="006763EE"/>
    <w:rsid w:val="0067668F"/>
    <w:rsid w:val="006766C3"/>
    <w:rsid w:val="006766D6"/>
    <w:rsid w:val="0067683C"/>
    <w:rsid w:val="0067772B"/>
    <w:rsid w:val="006777A4"/>
    <w:rsid w:val="006800A1"/>
    <w:rsid w:val="00680344"/>
    <w:rsid w:val="006806EA"/>
    <w:rsid w:val="00680BF6"/>
    <w:rsid w:val="006810FB"/>
    <w:rsid w:val="00681430"/>
    <w:rsid w:val="00681FC1"/>
    <w:rsid w:val="006826EE"/>
    <w:rsid w:val="00682721"/>
    <w:rsid w:val="00682A2F"/>
    <w:rsid w:val="00682C5B"/>
    <w:rsid w:val="00682D24"/>
    <w:rsid w:val="00682EB6"/>
    <w:rsid w:val="00683119"/>
    <w:rsid w:val="00683940"/>
    <w:rsid w:val="00683DBC"/>
    <w:rsid w:val="00684A09"/>
    <w:rsid w:val="00684ABC"/>
    <w:rsid w:val="00685195"/>
    <w:rsid w:val="006855D9"/>
    <w:rsid w:val="006857EE"/>
    <w:rsid w:val="00685B71"/>
    <w:rsid w:val="00685D61"/>
    <w:rsid w:val="00685F4C"/>
    <w:rsid w:val="0068627E"/>
    <w:rsid w:val="006862EA"/>
    <w:rsid w:val="0068649E"/>
    <w:rsid w:val="00686A3B"/>
    <w:rsid w:val="00686B74"/>
    <w:rsid w:val="0068770A"/>
    <w:rsid w:val="00687937"/>
    <w:rsid w:val="00687F74"/>
    <w:rsid w:val="00690A69"/>
    <w:rsid w:val="006929CD"/>
    <w:rsid w:val="00693640"/>
    <w:rsid w:val="00693886"/>
    <w:rsid w:val="00693F4D"/>
    <w:rsid w:val="00694300"/>
    <w:rsid w:val="006943F7"/>
    <w:rsid w:val="00694583"/>
    <w:rsid w:val="006945C5"/>
    <w:rsid w:val="006951A3"/>
    <w:rsid w:val="006958C4"/>
    <w:rsid w:val="006961D2"/>
    <w:rsid w:val="006963A8"/>
    <w:rsid w:val="00696467"/>
    <w:rsid w:val="00696740"/>
    <w:rsid w:val="00696C3A"/>
    <w:rsid w:val="00696E53"/>
    <w:rsid w:val="006973DA"/>
    <w:rsid w:val="00697883"/>
    <w:rsid w:val="00697E65"/>
    <w:rsid w:val="006A0291"/>
    <w:rsid w:val="006A087D"/>
    <w:rsid w:val="006A0938"/>
    <w:rsid w:val="006A0A2F"/>
    <w:rsid w:val="006A0A3F"/>
    <w:rsid w:val="006A1A3C"/>
    <w:rsid w:val="006A1A3E"/>
    <w:rsid w:val="006A2A14"/>
    <w:rsid w:val="006A2BA4"/>
    <w:rsid w:val="006A31F0"/>
    <w:rsid w:val="006A37DE"/>
    <w:rsid w:val="006A3DA7"/>
    <w:rsid w:val="006A400B"/>
    <w:rsid w:val="006A46A8"/>
    <w:rsid w:val="006A4A85"/>
    <w:rsid w:val="006A4BC1"/>
    <w:rsid w:val="006A4D7D"/>
    <w:rsid w:val="006A5A6D"/>
    <w:rsid w:val="006A6016"/>
    <w:rsid w:val="006A639A"/>
    <w:rsid w:val="006A65F2"/>
    <w:rsid w:val="006A6C2C"/>
    <w:rsid w:val="006A6D93"/>
    <w:rsid w:val="006A7401"/>
    <w:rsid w:val="006A7675"/>
    <w:rsid w:val="006A7E8E"/>
    <w:rsid w:val="006A7EC0"/>
    <w:rsid w:val="006B0083"/>
    <w:rsid w:val="006B023D"/>
    <w:rsid w:val="006B028F"/>
    <w:rsid w:val="006B1745"/>
    <w:rsid w:val="006B18F3"/>
    <w:rsid w:val="006B19E2"/>
    <w:rsid w:val="006B23E1"/>
    <w:rsid w:val="006B2629"/>
    <w:rsid w:val="006B2770"/>
    <w:rsid w:val="006B277F"/>
    <w:rsid w:val="006B2CA2"/>
    <w:rsid w:val="006B2D7F"/>
    <w:rsid w:val="006B30DC"/>
    <w:rsid w:val="006B32AC"/>
    <w:rsid w:val="006B3838"/>
    <w:rsid w:val="006B3B76"/>
    <w:rsid w:val="006B41E6"/>
    <w:rsid w:val="006B463F"/>
    <w:rsid w:val="006B538C"/>
    <w:rsid w:val="006B5C29"/>
    <w:rsid w:val="006B5CDA"/>
    <w:rsid w:val="006B608A"/>
    <w:rsid w:val="006B63DE"/>
    <w:rsid w:val="006B652C"/>
    <w:rsid w:val="006B7993"/>
    <w:rsid w:val="006B7EA1"/>
    <w:rsid w:val="006B7F7E"/>
    <w:rsid w:val="006B7FED"/>
    <w:rsid w:val="006C02AC"/>
    <w:rsid w:val="006C04FA"/>
    <w:rsid w:val="006C0720"/>
    <w:rsid w:val="006C0728"/>
    <w:rsid w:val="006C14EC"/>
    <w:rsid w:val="006C1A5A"/>
    <w:rsid w:val="006C2602"/>
    <w:rsid w:val="006C3085"/>
    <w:rsid w:val="006C32F8"/>
    <w:rsid w:val="006C3686"/>
    <w:rsid w:val="006C3765"/>
    <w:rsid w:val="006C3C1B"/>
    <w:rsid w:val="006C4867"/>
    <w:rsid w:val="006C4F45"/>
    <w:rsid w:val="006C57BB"/>
    <w:rsid w:val="006C5C3D"/>
    <w:rsid w:val="006C5D4C"/>
    <w:rsid w:val="006C62EF"/>
    <w:rsid w:val="006C698F"/>
    <w:rsid w:val="006C72CA"/>
    <w:rsid w:val="006C76CA"/>
    <w:rsid w:val="006C777E"/>
    <w:rsid w:val="006D00D1"/>
    <w:rsid w:val="006D04C3"/>
    <w:rsid w:val="006D07F7"/>
    <w:rsid w:val="006D0FAA"/>
    <w:rsid w:val="006D11C6"/>
    <w:rsid w:val="006D11E3"/>
    <w:rsid w:val="006D194F"/>
    <w:rsid w:val="006D23AE"/>
    <w:rsid w:val="006D254B"/>
    <w:rsid w:val="006D2607"/>
    <w:rsid w:val="006D3C74"/>
    <w:rsid w:val="006D3E41"/>
    <w:rsid w:val="006D3F5F"/>
    <w:rsid w:val="006D4C18"/>
    <w:rsid w:val="006D4C7A"/>
    <w:rsid w:val="006D4CE9"/>
    <w:rsid w:val="006D51A5"/>
    <w:rsid w:val="006D5AC8"/>
    <w:rsid w:val="006D5DF1"/>
    <w:rsid w:val="006D68CE"/>
    <w:rsid w:val="006D6989"/>
    <w:rsid w:val="006D69D7"/>
    <w:rsid w:val="006D7027"/>
    <w:rsid w:val="006E040E"/>
    <w:rsid w:val="006E076D"/>
    <w:rsid w:val="006E0D57"/>
    <w:rsid w:val="006E1EFF"/>
    <w:rsid w:val="006E21ED"/>
    <w:rsid w:val="006E2356"/>
    <w:rsid w:val="006E2AEF"/>
    <w:rsid w:val="006E3D2C"/>
    <w:rsid w:val="006E4016"/>
    <w:rsid w:val="006E430E"/>
    <w:rsid w:val="006E4588"/>
    <w:rsid w:val="006E46C2"/>
    <w:rsid w:val="006E4A49"/>
    <w:rsid w:val="006E4C4B"/>
    <w:rsid w:val="006E4DD4"/>
    <w:rsid w:val="006E5125"/>
    <w:rsid w:val="006E6063"/>
    <w:rsid w:val="006E6CA2"/>
    <w:rsid w:val="006E708B"/>
    <w:rsid w:val="006E712E"/>
    <w:rsid w:val="006E7296"/>
    <w:rsid w:val="006E7618"/>
    <w:rsid w:val="006E78D5"/>
    <w:rsid w:val="006E7B58"/>
    <w:rsid w:val="006F137A"/>
    <w:rsid w:val="006F1969"/>
    <w:rsid w:val="006F20CA"/>
    <w:rsid w:val="006F21D5"/>
    <w:rsid w:val="006F2320"/>
    <w:rsid w:val="006F2390"/>
    <w:rsid w:val="006F2B0D"/>
    <w:rsid w:val="006F2C8F"/>
    <w:rsid w:val="006F3764"/>
    <w:rsid w:val="006F384A"/>
    <w:rsid w:val="006F3B1D"/>
    <w:rsid w:val="006F43B2"/>
    <w:rsid w:val="006F4A32"/>
    <w:rsid w:val="006F4DDD"/>
    <w:rsid w:val="006F52BB"/>
    <w:rsid w:val="006F59E8"/>
    <w:rsid w:val="006F5DD9"/>
    <w:rsid w:val="006F6272"/>
    <w:rsid w:val="006F6BC2"/>
    <w:rsid w:val="006F7863"/>
    <w:rsid w:val="00700661"/>
    <w:rsid w:val="00701246"/>
    <w:rsid w:val="007015BF"/>
    <w:rsid w:val="0070242D"/>
    <w:rsid w:val="00702547"/>
    <w:rsid w:val="00702944"/>
    <w:rsid w:val="00702CDE"/>
    <w:rsid w:val="00703E37"/>
    <w:rsid w:val="00703F68"/>
    <w:rsid w:val="00704BF2"/>
    <w:rsid w:val="00705073"/>
    <w:rsid w:val="007051EE"/>
    <w:rsid w:val="007052B7"/>
    <w:rsid w:val="0070589F"/>
    <w:rsid w:val="00705C8F"/>
    <w:rsid w:val="00706002"/>
    <w:rsid w:val="0070644E"/>
    <w:rsid w:val="00706B99"/>
    <w:rsid w:val="00706BD6"/>
    <w:rsid w:val="00706EC1"/>
    <w:rsid w:val="007070EE"/>
    <w:rsid w:val="00707410"/>
    <w:rsid w:val="00707DF3"/>
    <w:rsid w:val="007105B0"/>
    <w:rsid w:val="007106D8"/>
    <w:rsid w:val="00711029"/>
    <w:rsid w:val="007112D5"/>
    <w:rsid w:val="007113AD"/>
    <w:rsid w:val="007116B0"/>
    <w:rsid w:val="00711989"/>
    <w:rsid w:val="007123F6"/>
    <w:rsid w:val="00712851"/>
    <w:rsid w:val="00712D1B"/>
    <w:rsid w:val="00712E0D"/>
    <w:rsid w:val="00714362"/>
    <w:rsid w:val="0071450F"/>
    <w:rsid w:val="007146DC"/>
    <w:rsid w:val="00714986"/>
    <w:rsid w:val="00715097"/>
    <w:rsid w:val="00715FDC"/>
    <w:rsid w:val="00716931"/>
    <w:rsid w:val="00716BA7"/>
    <w:rsid w:val="00716CD9"/>
    <w:rsid w:val="0071795F"/>
    <w:rsid w:val="00717A1F"/>
    <w:rsid w:val="00720422"/>
    <w:rsid w:val="00720DAC"/>
    <w:rsid w:val="00720FCD"/>
    <w:rsid w:val="00721075"/>
    <w:rsid w:val="007217C7"/>
    <w:rsid w:val="0072189A"/>
    <w:rsid w:val="00721B90"/>
    <w:rsid w:val="00721CE3"/>
    <w:rsid w:val="00722059"/>
    <w:rsid w:val="00722062"/>
    <w:rsid w:val="00723276"/>
    <w:rsid w:val="007234AA"/>
    <w:rsid w:val="007240A5"/>
    <w:rsid w:val="007240FB"/>
    <w:rsid w:val="00724499"/>
    <w:rsid w:val="007260FB"/>
    <w:rsid w:val="00726887"/>
    <w:rsid w:val="0072696A"/>
    <w:rsid w:val="00726C81"/>
    <w:rsid w:val="00727704"/>
    <w:rsid w:val="0072794A"/>
    <w:rsid w:val="0073048F"/>
    <w:rsid w:val="007315DF"/>
    <w:rsid w:val="007316CE"/>
    <w:rsid w:val="007316F1"/>
    <w:rsid w:val="007319A1"/>
    <w:rsid w:val="007327CB"/>
    <w:rsid w:val="00732CA4"/>
    <w:rsid w:val="00732FDD"/>
    <w:rsid w:val="0073326F"/>
    <w:rsid w:val="00733BF3"/>
    <w:rsid w:val="00733D89"/>
    <w:rsid w:val="00734037"/>
    <w:rsid w:val="007351B0"/>
    <w:rsid w:val="00735A10"/>
    <w:rsid w:val="00735F3A"/>
    <w:rsid w:val="0073607D"/>
    <w:rsid w:val="00736EA6"/>
    <w:rsid w:val="0073748C"/>
    <w:rsid w:val="0073763A"/>
    <w:rsid w:val="00737B2E"/>
    <w:rsid w:val="0074002A"/>
    <w:rsid w:val="00740A76"/>
    <w:rsid w:val="00740CE8"/>
    <w:rsid w:val="007410DB"/>
    <w:rsid w:val="00741508"/>
    <w:rsid w:val="0074184F"/>
    <w:rsid w:val="00741FC9"/>
    <w:rsid w:val="00742240"/>
    <w:rsid w:val="00742B27"/>
    <w:rsid w:val="00742C60"/>
    <w:rsid w:val="00742DA6"/>
    <w:rsid w:val="007433E7"/>
    <w:rsid w:val="00743495"/>
    <w:rsid w:val="00743DC5"/>
    <w:rsid w:val="007448B3"/>
    <w:rsid w:val="0074527A"/>
    <w:rsid w:val="007452B7"/>
    <w:rsid w:val="00745741"/>
    <w:rsid w:val="00745876"/>
    <w:rsid w:val="0074588A"/>
    <w:rsid w:val="0074596A"/>
    <w:rsid w:val="007459BD"/>
    <w:rsid w:val="00745E4F"/>
    <w:rsid w:val="00745EA6"/>
    <w:rsid w:val="00746174"/>
    <w:rsid w:val="00746D9F"/>
    <w:rsid w:val="00746DFF"/>
    <w:rsid w:val="00746FDC"/>
    <w:rsid w:val="007476D3"/>
    <w:rsid w:val="0074777B"/>
    <w:rsid w:val="007479CD"/>
    <w:rsid w:val="00750026"/>
    <w:rsid w:val="007507D4"/>
    <w:rsid w:val="007508B7"/>
    <w:rsid w:val="00750C7D"/>
    <w:rsid w:val="007512F4"/>
    <w:rsid w:val="007518D6"/>
    <w:rsid w:val="00751BCA"/>
    <w:rsid w:val="007525DD"/>
    <w:rsid w:val="00752AA6"/>
    <w:rsid w:val="00753D35"/>
    <w:rsid w:val="00754721"/>
    <w:rsid w:val="007550FE"/>
    <w:rsid w:val="0075536B"/>
    <w:rsid w:val="00755737"/>
    <w:rsid w:val="00757564"/>
    <w:rsid w:val="00757EAD"/>
    <w:rsid w:val="00757FCA"/>
    <w:rsid w:val="00760208"/>
    <w:rsid w:val="007609FA"/>
    <w:rsid w:val="00760CB2"/>
    <w:rsid w:val="00761783"/>
    <w:rsid w:val="00761977"/>
    <w:rsid w:val="00762172"/>
    <w:rsid w:val="0076284A"/>
    <w:rsid w:val="00762C47"/>
    <w:rsid w:val="00763221"/>
    <w:rsid w:val="007638DA"/>
    <w:rsid w:val="00764792"/>
    <w:rsid w:val="00764804"/>
    <w:rsid w:val="007649DC"/>
    <w:rsid w:val="00764C6C"/>
    <w:rsid w:val="007654E1"/>
    <w:rsid w:val="00765ADA"/>
    <w:rsid w:val="00765CD2"/>
    <w:rsid w:val="00765D1F"/>
    <w:rsid w:val="00765E9F"/>
    <w:rsid w:val="00766027"/>
    <w:rsid w:val="007665B5"/>
    <w:rsid w:val="00766B67"/>
    <w:rsid w:val="00766DC0"/>
    <w:rsid w:val="00766E7B"/>
    <w:rsid w:val="007670A1"/>
    <w:rsid w:val="00767312"/>
    <w:rsid w:val="00767B43"/>
    <w:rsid w:val="007701BD"/>
    <w:rsid w:val="00770B83"/>
    <w:rsid w:val="00770EFA"/>
    <w:rsid w:val="0077125E"/>
    <w:rsid w:val="00771860"/>
    <w:rsid w:val="00771A08"/>
    <w:rsid w:val="00771F0F"/>
    <w:rsid w:val="007721BF"/>
    <w:rsid w:val="00772D30"/>
    <w:rsid w:val="00773165"/>
    <w:rsid w:val="0077340E"/>
    <w:rsid w:val="00773A0E"/>
    <w:rsid w:val="00773C78"/>
    <w:rsid w:val="007747AD"/>
    <w:rsid w:val="00774A3D"/>
    <w:rsid w:val="00774B86"/>
    <w:rsid w:val="00774C55"/>
    <w:rsid w:val="007759EF"/>
    <w:rsid w:val="00775C10"/>
    <w:rsid w:val="00775DC8"/>
    <w:rsid w:val="007763B1"/>
    <w:rsid w:val="007763B3"/>
    <w:rsid w:val="00776497"/>
    <w:rsid w:val="00776A3C"/>
    <w:rsid w:val="00776BA7"/>
    <w:rsid w:val="0077727D"/>
    <w:rsid w:val="00777C49"/>
    <w:rsid w:val="00777EA1"/>
    <w:rsid w:val="007800D3"/>
    <w:rsid w:val="00780456"/>
    <w:rsid w:val="00780DFE"/>
    <w:rsid w:val="00781CDB"/>
    <w:rsid w:val="007824B3"/>
    <w:rsid w:val="00782510"/>
    <w:rsid w:val="00782CCA"/>
    <w:rsid w:val="007834AC"/>
    <w:rsid w:val="00783CBC"/>
    <w:rsid w:val="00783EFD"/>
    <w:rsid w:val="0078474C"/>
    <w:rsid w:val="00784A7C"/>
    <w:rsid w:val="00784DBC"/>
    <w:rsid w:val="00784F7D"/>
    <w:rsid w:val="0078523E"/>
    <w:rsid w:val="0078524D"/>
    <w:rsid w:val="007855D8"/>
    <w:rsid w:val="00785B3D"/>
    <w:rsid w:val="00786ABB"/>
    <w:rsid w:val="00786BDA"/>
    <w:rsid w:val="007876E9"/>
    <w:rsid w:val="00787B4D"/>
    <w:rsid w:val="00790533"/>
    <w:rsid w:val="007905DB"/>
    <w:rsid w:val="00790DEC"/>
    <w:rsid w:val="0079134D"/>
    <w:rsid w:val="007914AB"/>
    <w:rsid w:val="00791BE7"/>
    <w:rsid w:val="00791C68"/>
    <w:rsid w:val="0079258F"/>
    <w:rsid w:val="007926E7"/>
    <w:rsid w:val="00792940"/>
    <w:rsid w:val="00792ED1"/>
    <w:rsid w:val="00793304"/>
    <w:rsid w:val="0079394A"/>
    <w:rsid w:val="00793F54"/>
    <w:rsid w:val="007940F7"/>
    <w:rsid w:val="00794D6E"/>
    <w:rsid w:val="007950D6"/>
    <w:rsid w:val="007951D6"/>
    <w:rsid w:val="007951FF"/>
    <w:rsid w:val="00795538"/>
    <w:rsid w:val="0079573F"/>
    <w:rsid w:val="00795936"/>
    <w:rsid w:val="00795BC0"/>
    <w:rsid w:val="007967D6"/>
    <w:rsid w:val="0079742D"/>
    <w:rsid w:val="007977DE"/>
    <w:rsid w:val="00797F35"/>
    <w:rsid w:val="007A0005"/>
    <w:rsid w:val="007A00BE"/>
    <w:rsid w:val="007A030B"/>
    <w:rsid w:val="007A0BF3"/>
    <w:rsid w:val="007A1B95"/>
    <w:rsid w:val="007A241A"/>
    <w:rsid w:val="007A2615"/>
    <w:rsid w:val="007A2D80"/>
    <w:rsid w:val="007A3025"/>
    <w:rsid w:val="007A34A2"/>
    <w:rsid w:val="007A4449"/>
    <w:rsid w:val="007A44FE"/>
    <w:rsid w:val="007A4A49"/>
    <w:rsid w:val="007A527F"/>
    <w:rsid w:val="007A53A6"/>
    <w:rsid w:val="007A6C9D"/>
    <w:rsid w:val="007A736D"/>
    <w:rsid w:val="007A7435"/>
    <w:rsid w:val="007A7B91"/>
    <w:rsid w:val="007A7C5E"/>
    <w:rsid w:val="007B0774"/>
    <w:rsid w:val="007B0AC6"/>
    <w:rsid w:val="007B0DF9"/>
    <w:rsid w:val="007B10C7"/>
    <w:rsid w:val="007B1A9F"/>
    <w:rsid w:val="007B2330"/>
    <w:rsid w:val="007B25BC"/>
    <w:rsid w:val="007B269C"/>
    <w:rsid w:val="007B31FD"/>
    <w:rsid w:val="007B3802"/>
    <w:rsid w:val="007B39D0"/>
    <w:rsid w:val="007B3B02"/>
    <w:rsid w:val="007B3B35"/>
    <w:rsid w:val="007B3BCC"/>
    <w:rsid w:val="007B3BE1"/>
    <w:rsid w:val="007B3D63"/>
    <w:rsid w:val="007B3D6A"/>
    <w:rsid w:val="007B4D6E"/>
    <w:rsid w:val="007B5154"/>
    <w:rsid w:val="007B599C"/>
    <w:rsid w:val="007B5E0A"/>
    <w:rsid w:val="007B60C8"/>
    <w:rsid w:val="007B6A42"/>
    <w:rsid w:val="007B6DA7"/>
    <w:rsid w:val="007B7F35"/>
    <w:rsid w:val="007C0850"/>
    <w:rsid w:val="007C0E1A"/>
    <w:rsid w:val="007C1848"/>
    <w:rsid w:val="007C1D63"/>
    <w:rsid w:val="007C24C4"/>
    <w:rsid w:val="007C277D"/>
    <w:rsid w:val="007C31D7"/>
    <w:rsid w:val="007C39D7"/>
    <w:rsid w:val="007C3EF4"/>
    <w:rsid w:val="007C3EF9"/>
    <w:rsid w:val="007C5933"/>
    <w:rsid w:val="007C5D20"/>
    <w:rsid w:val="007C6388"/>
    <w:rsid w:val="007C6F10"/>
    <w:rsid w:val="007C7157"/>
    <w:rsid w:val="007C7763"/>
    <w:rsid w:val="007C7F16"/>
    <w:rsid w:val="007D0132"/>
    <w:rsid w:val="007D0262"/>
    <w:rsid w:val="007D0B4A"/>
    <w:rsid w:val="007D11BC"/>
    <w:rsid w:val="007D1F0E"/>
    <w:rsid w:val="007D1FA3"/>
    <w:rsid w:val="007D2AC4"/>
    <w:rsid w:val="007D425A"/>
    <w:rsid w:val="007D466C"/>
    <w:rsid w:val="007D4912"/>
    <w:rsid w:val="007D52BA"/>
    <w:rsid w:val="007D54B8"/>
    <w:rsid w:val="007D5BE6"/>
    <w:rsid w:val="007D5EAB"/>
    <w:rsid w:val="007D6733"/>
    <w:rsid w:val="007D6F09"/>
    <w:rsid w:val="007D7A5E"/>
    <w:rsid w:val="007D7EFA"/>
    <w:rsid w:val="007E095A"/>
    <w:rsid w:val="007E0BF8"/>
    <w:rsid w:val="007E0C90"/>
    <w:rsid w:val="007E0DB4"/>
    <w:rsid w:val="007E109A"/>
    <w:rsid w:val="007E10AF"/>
    <w:rsid w:val="007E1553"/>
    <w:rsid w:val="007E163F"/>
    <w:rsid w:val="007E174F"/>
    <w:rsid w:val="007E17A0"/>
    <w:rsid w:val="007E1AFC"/>
    <w:rsid w:val="007E1BC9"/>
    <w:rsid w:val="007E22E2"/>
    <w:rsid w:val="007E22F3"/>
    <w:rsid w:val="007E2D34"/>
    <w:rsid w:val="007E2E42"/>
    <w:rsid w:val="007E397E"/>
    <w:rsid w:val="007E40C2"/>
    <w:rsid w:val="007E4BB2"/>
    <w:rsid w:val="007E4E19"/>
    <w:rsid w:val="007E50DE"/>
    <w:rsid w:val="007E51B8"/>
    <w:rsid w:val="007E5425"/>
    <w:rsid w:val="007E5450"/>
    <w:rsid w:val="007E5D7C"/>
    <w:rsid w:val="007E5FDC"/>
    <w:rsid w:val="007E6361"/>
    <w:rsid w:val="007E65BD"/>
    <w:rsid w:val="007E6D2A"/>
    <w:rsid w:val="007E7A52"/>
    <w:rsid w:val="007E7E53"/>
    <w:rsid w:val="007F0499"/>
    <w:rsid w:val="007F05BE"/>
    <w:rsid w:val="007F0BE3"/>
    <w:rsid w:val="007F0D02"/>
    <w:rsid w:val="007F1120"/>
    <w:rsid w:val="007F19CA"/>
    <w:rsid w:val="007F1ECD"/>
    <w:rsid w:val="007F2025"/>
    <w:rsid w:val="007F2227"/>
    <w:rsid w:val="007F2249"/>
    <w:rsid w:val="007F236F"/>
    <w:rsid w:val="007F23E1"/>
    <w:rsid w:val="007F2753"/>
    <w:rsid w:val="007F322B"/>
    <w:rsid w:val="007F3702"/>
    <w:rsid w:val="007F3841"/>
    <w:rsid w:val="007F392E"/>
    <w:rsid w:val="007F3E26"/>
    <w:rsid w:val="007F42F0"/>
    <w:rsid w:val="007F481A"/>
    <w:rsid w:val="007F4CE4"/>
    <w:rsid w:val="007F5346"/>
    <w:rsid w:val="007F55AB"/>
    <w:rsid w:val="007F595A"/>
    <w:rsid w:val="007F5B3F"/>
    <w:rsid w:val="007F6750"/>
    <w:rsid w:val="007F691B"/>
    <w:rsid w:val="007F6965"/>
    <w:rsid w:val="007F73D1"/>
    <w:rsid w:val="007F774C"/>
    <w:rsid w:val="007F781E"/>
    <w:rsid w:val="00800469"/>
    <w:rsid w:val="008005DA"/>
    <w:rsid w:val="00801302"/>
    <w:rsid w:val="00801A01"/>
    <w:rsid w:val="00801BCA"/>
    <w:rsid w:val="00801DF2"/>
    <w:rsid w:val="00802267"/>
    <w:rsid w:val="008023A6"/>
    <w:rsid w:val="00802AD3"/>
    <w:rsid w:val="00803314"/>
    <w:rsid w:val="0080333C"/>
    <w:rsid w:val="00803370"/>
    <w:rsid w:val="00804BAF"/>
    <w:rsid w:val="008055BF"/>
    <w:rsid w:val="00805C07"/>
    <w:rsid w:val="00806327"/>
    <w:rsid w:val="0080690A"/>
    <w:rsid w:val="00806BBB"/>
    <w:rsid w:val="00807811"/>
    <w:rsid w:val="00807A8B"/>
    <w:rsid w:val="00810DF8"/>
    <w:rsid w:val="0081129A"/>
    <w:rsid w:val="008115FD"/>
    <w:rsid w:val="00812277"/>
    <w:rsid w:val="0081312D"/>
    <w:rsid w:val="00814461"/>
    <w:rsid w:val="00814611"/>
    <w:rsid w:val="00814D8B"/>
    <w:rsid w:val="008152CF"/>
    <w:rsid w:val="0081533A"/>
    <w:rsid w:val="008157E4"/>
    <w:rsid w:val="00815A8D"/>
    <w:rsid w:val="00816152"/>
    <w:rsid w:val="0081661D"/>
    <w:rsid w:val="00816A2C"/>
    <w:rsid w:val="00816DDD"/>
    <w:rsid w:val="00816ECB"/>
    <w:rsid w:val="00817474"/>
    <w:rsid w:val="008179B6"/>
    <w:rsid w:val="00820452"/>
    <w:rsid w:val="00820BBB"/>
    <w:rsid w:val="00820BBE"/>
    <w:rsid w:val="008219F0"/>
    <w:rsid w:val="0082325A"/>
    <w:rsid w:val="00823563"/>
    <w:rsid w:val="00824207"/>
    <w:rsid w:val="0082427A"/>
    <w:rsid w:val="008248CF"/>
    <w:rsid w:val="00824D59"/>
    <w:rsid w:val="00824DF2"/>
    <w:rsid w:val="008259F9"/>
    <w:rsid w:val="00825A7D"/>
    <w:rsid w:val="00825AD6"/>
    <w:rsid w:val="00826BDE"/>
    <w:rsid w:val="00827274"/>
    <w:rsid w:val="0082743C"/>
    <w:rsid w:val="00827623"/>
    <w:rsid w:val="00827A5C"/>
    <w:rsid w:val="00827F26"/>
    <w:rsid w:val="0083195B"/>
    <w:rsid w:val="00831C5C"/>
    <w:rsid w:val="00831C7B"/>
    <w:rsid w:val="00831F22"/>
    <w:rsid w:val="008324A0"/>
    <w:rsid w:val="00832538"/>
    <w:rsid w:val="00832555"/>
    <w:rsid w:val="00833137"/>
    <w:rsid w:val="008335F0"/>
    <w:rsid w:val="00833CF6"/>
    <w:rsid w:val="00833F12"/>
    <w:rsid w:val="00834619"/>
    <w:rsid w:val="008350E8"/>
    <w:rsid w:val="00835108"/>
    <w:rsid w:val="0083515C"/>
    <w:rsid w:val="00835FAA"/>
    <w:rsid w:val="00835FF8"/>
    <w:rsid w:val="008360E9"/>
    <w:rsid w:val="00836E14"/>
    <w:rsid w:val="00837804"/>
    <w:rsid w:val="008403E5"/>
    <w:rsid w:val="00840452"/>
    <w:rsid w:val="00840856"/>
    <w:rsid w:val="008409CD"/>
    <w:rsid w:val="00840B65"/>
    <w:rsid w:val="00840F17"/>
    <w:rsid w:val="00841EEA"/>
    <w:rsid w:val="008422FE"/>
    <w:rsid w:val="008429C5"/>
    <w:rsid w:val="0084359C"/>
    <w:rsid w:val="008438C6"/>
    <w:rsid w:val="008439A5"/>
    <w:rsid w:val="00843C04"/>
    <w:rsid w:val="00843DA0"/>
    <w:rsid w:val="00843F48"/>
    <w:rsid w:val="00844DC4"/>
    <w:rsid w:val="00844F91"/>
    <w:rsid w:val="008450F7"/>
    <w:rsid w:val="00845562"/>
    <w:rsid w:val="00845E0A"/>
    <w:rsid w:val="00845F61"/>
    <w:rsid w:val="00845FC3"/>
    <w:rsid w:val="00846656"/>
    <w:rsid w:val="008466DC"/>
    <w:rsid w:val="0084674A"/>
    <w:rsid w:val="00846971"/>
    <w:rsid w:val="00846E30"/>
    <w:rsid w:val="00846F1E"/>
    <w:rsid w:val="0084745F"/>
    <w:rsid w:val="008477D9"/>
    <w:rsid w:val="00847BFF"/>
    <w:rsid w:val="00850C05"/>
    <w:rsid w:val="00851478"/>
    <w:rsid w:val="00851764"/>
    <w:rsid w:val="00851AE2"/>
    <w:rsid w:val="00851CB0"/>
    <w:rsid w:val="0085267D"/>
    <w:rsid w:val="00852D2F"/>
    <w:rsid w:val="008530F2"/>
    <w:rsid w:val="00853309"/>
    <w:rsid w:val="0085398E"/>
    <w:rsid w:val="0085440F"/>
    <w:rsid w:val="00854638"/>
    <w:rsid w:val="00854C6F"/>
    <w:rsid w:val="00854E52"/>
    <w:rsid w:val="00855541"/>
    <w:rsid w:val="00855836"/>
    <w:rsid w:val="008558F3"/>
    <w:rsid w:val="00855B82"/>
    <w:rsid w:val="00856444"/>
    <w:rsid w:val="0085654F"/>
    <w:rsid w:val="00856938"/>
    <w:rsid w:val="00856BEA"/>
    <w:rsid w:val="00856D71"/>
    <w:rsid w:val="008570A5"/>
    <w:rsid w:val="008575FC"/>
    <w:rsid w:val="00857EA3"/>
    <w:rsid w:val="00860F58"/>
    <w:rsid w:val="008618B2"/>
    <w:rsid w:val="00862040"/>
    <w:rsid w:val="008620A3"/>
    <w:rsid w:val="008623FB"/>
    <w:rsid w:val="00862780"/>
    <w:rsid w:val="00862B32"/>
    <w:rsid w:val="008635E5"/>
    <w:rsid w:val="00863C07"/>
    <w:rsid w:val="00863C3B"/>
    <w:rsid w:val="00863F11"/>
    <w:rsid w:val="00864166"/>
    <w:rsid w:val="0086447D"/>
    <w:rsid w:val="008648BA"/>
    <w:rsid w:val="00864A67"/>
    <w:rsid w:val="0086524E"/>
    <w:rsid w:val="00865DC8"/>
    <w:rsid w:val="00865FAB"/>
    <w:rsid w:val="0086613F"/>
    <w:rsid w:val="008661D8"/>
    <w:rsid w:val="00866469"/>
    <w:rsid w:val="0086791A"/>
    <w:rsid w:val="00867933"/>
    <w:rsid w:val="00867CFA"/>
    <w:rsid w:val="00870858"/>
    <w:rsid w:val="00870C9C"/>
    <w:rsid w:val="00870E5F"/>
    <w:rsid w:val="008711C8"/>
    <w:rsid w:val="00871ADC"/>
    <w:rsid w:val="00871CF5"/>
    <w:rsid w:val="008721F6"/>
    <w:rsid w:val="0087246C"/>
    <w:rsid w:val="008724C4"/>
    <w:rsid w:val="00872800"/>
    <w:rsid w:val="008730FE"/>
    <w:rsid w:val="008737B0"/>
    <w:rsid w:val="00873CFF"/>
    <w:rsid w:val="00873EAE"/>
    <w:rsid w:val="008740E2"/>
    <w:rsid w:val="008745EF"/>
    <w:rsid w:val="0087494E"/>
    <w:rsid w:val="00874F6E"/>
    <w:rsid w:val="008750D5"/>
    <w:rsid w:val="0087529B"/>
    <w:rsid w:val="0087692A"/>
    <w:rsid w:val="008769B8"/>
    <w:rsid w:val="008778D3"/>
    <w:rsid w:val="00877A5B"/>
    <w:rsid w:val="00877C23"/>
    <w:rsid w:val="00877DD4"/>
    <w:rsid w:val="00877EAA"/>
    <w:rsid w:val="00877F1E"/>
    <w:rsid w:val="00877F24"/>
    <w:rsid w:val="00880205"/>
    <w:rsid w:val="00880209"/>
    <w:rsid w:val="00880BB1"/>
    <w:rsid w:val="00880BBC"/>
    <w:rsid w:val="00880FEA"/>
    <w:rsid w:val="00881409"/>
    <w:rsid w:val="00881CBC"/>
    <w:rsid w:val="00881DE0"/>
    <w:rsid w:val="008820D0"/>
    <w:rsid w:val="00882200"/>
    <w:rsid w:val="00882260"/>
    <w:rsid w:val="00882A43"/>
    <w:rsid w:val="0088389A"/>
    <w:rsid w:val="008838D0"/>
    <w:rsid w:val="008839E2"/>
    <w:rsid w:val="00884489"/>
    <w:rsid w:val="00884C48"/>
    <w:rsid w:val="008857C3"/>
    <w:rsid w:val="00885E3F"/>
    <w:rsid w:val="008861B8"/>
    <w:rsid w:val="008862C8"/>
    <w:rsid w:val="0088659A"/>
    <w:rsid w:val="0088692C"/>
    <w:rsid w:val="00887EFE"/>
    <w:rsid w:val="00890208"/>
    <w:rsid w:val="008905DF"/>
    <w:rsid w:val="00890A4A"/>
    <w:rsid w:val="00890A60"/>
    <w:rsid w:val="00890A66"/>
    <w:rsid w:val="00890E04"/>
    <w:rsid w:val="00891454"/>
    <w:rsid w:val="0089154E"/>
    <w:rsid w:val="008917D9"/>
    <w:rsid w:val="00891AB6"/>
    <w:rsid w:val="00891AC4"/>
    <w:rsid w:val="00891EA2"/>
    <w:rsid w:val="008923D8"/>
    <w:rsid w:val="0089319B"/>
    <w:rsid w:val="00893874"/>
    <w:rsid w:val="00893A33"/>
    <w:rsid w:val="00893E3B"/>
    <w:rsid w:val="0089400D"/>
    <w:rsid w:val="008941BE"/>
    <w:rsid w:val="008941E7"/>
    <w:rsid w:val="0089505C"/>
    <w:rsid w:val="008951BF"/>
    <w:rsid w:val="0089534A"/>
    <w:rsid w:val="0089574B"/>
    <w:rsid w:val="0089592E"/>
    <w:rsid w:val="0089646F"/>
    <w:rsid w:val="008965B2"/>
    <w:rsid w:val="00896827"/>
    <w:rsid w:val="0089703B"/>
    <w:rsid w:val="008971CD"/>
    <w:rsid w:val="008972EF"/>
    <w:rsid w:val="008973E0"/>
    <w:rsid w:val="008974EC"/>
    <w:rsid w:val="008A00E0"/>
    <w:rsid w:val="008A0E73"/>
    <w:rsid w:val="008A16E6"/>
    <w:rsid w:val="008A1982"/>
    <w:rsid w:val="008A1CF9"/>
    <w:rsid w:val="008A1DB1"/>
    <w:rsid w:val="008A1DEA"/>
    <w:rsid w:val="008A1F36"/>
    <w:rsid w:val="008A2901"/>
    <w:rsid w:val="008A3002"/>
    <w:rsid w:val="008A310D"/>
    <w:rsid w:val="008A316E"/>
    <w:rsid w:val="008A3599"/>
    <w:rsid w:val="008A3C95"/>
    <w:rsid w:val="008A4A68"/>
    <w:rsid w:val="008A4FFA"/>
    <w:rsid w:val="008A52F8"/>
    <w:rsid w:val="008A55A9"/>
    <w:rsid w:val="008A5895"/>
    <w:rsid w:val="008A590B"/>
    <w:rsid w:val="008A5F8A"/>
    <w:rsid w:val="008A6531"/>
    <w:rsid w:val="008A7ADF"/>
    <w:rsid w:val="008A7DB4"/>
    <w:rsid w:val="008B0252"/>
    <w:rsid w:val="008B069B"/>
    <w:rsid w:val="008B0DC6"/>
    <w:rsid w:val="008B0EE2"/>
    <w:rsid w:val="008B156C"/>
    <w:rsid w:val="008B168D"/>
    <w:rsid w:val="008B1FFF"/>
    <w:rsid w:val="008B291E"/>
    <w:rsid w:val="008B370B"/>
    <w:rsid w:val="008B393A"/>
    <w:rsid w:val="008B44CA"/>
    <w:rsid w:val="008B4578"/>
    <w:rsid w:val="008B4951"/>
    <w:rsid w:val="008B4B86"/>
    <w:rsid w:val="008B4BED"/>
    <w:rsid w:val="008B4F9B"/>
    <w:rsid w:val="008B5090"/>
    <w:rsid w:val="008B5A56"/>
    <w:rsid w:val="008B5EE0"/>
    <w:rsid w:val="008B5EFF"/>
    <w:rsid w:val="008B613A"/>
    <w:rsid w:val="008B6AE5"/>
    <w:rsid w:val="008B7016"/>
    <w:rsid w:val="008B7859"/>
    <w:rsid w:val="008B7ABD"/>
    <w:rsid w:val="008C083A"/>
    <w:rsid w:val="008C0B94"/>
    <w:rsid w:val="008C0D6D"/>
    <w:rsid w:val="008C0F31"/>
    <w:rsid w:val="008C1A92"/>
    <w:rsid w:val="008C204E"/>
    <w:rsid w:val="008C20BB"/>
    <w:rsid w:val="008C2A67"/>
    <w:rsid w:val="008C2EFA"/>
    <w:rsid w:val="008C352E"/>
    <w:rsid w:val="008C3ED3"/>
    <w:rsid w:val="008C3F7E"/>
    <w:rsid w:val="008C4340"/>
    <w:rsid w:val="008C4406"/>
    <w:rsid w:val="008C50A0"/>
    <w:rsid w:val="008C51FD"/>
    <w:rsid w:val="008C56F9"/>
    <w:rsid w:val="008C5EE6"/>
    <w:rsid w:val="008C624D"/>
    <w:rsid w:val="008C6E69"/>
    <w:rsid w:val="008C7336"/>
    <w:rsid w:val="008C7670"/>
    <w:rsid w:val="008C784B"/>
    <w:rsid w:val="008C7E1D"/>
    <w:rsid w:val="008D0147"/>
    <w:rsid w:val="008D0256"/>
    <w:rsid w:val="008D07F6"/>
    <w:rsid w:val="008D0F29"/>
    <w:rsid w:val="008D0F93"/>
    <w:rsid w:val="008D12B5"/>
    <w:rsid w:val="008D12EE"/>
    <w:rsid w:val="008D1499"/>
    <w:rsid w:val="008D1A36"/>
    <w:rsid w:val="008D3203"/>
    <w:rsid w:val="008D44B1"/>
    <w:rsid w:val="008D467B"/>
    <w:rsid w:val="008D46E1"/>
    <w:rsid w:val="008D4929"/>
    <w:rsid w:val="008D5732"/>
    <w:rsid w:val="008D5AC3"/>
    <w:rsid w:val="008D607E"/>
    <w:rsid w:val="008D635A"/>
    <w:rsid w:val="008D6DD3"/>
    <w:rsid w:val="008D6EEB"/>
    <w:rsid w:val="008D7253"/>
    <w:rsid w:val="008D77CC"/>
    <w:rsid w:val="008D7878"/>
    <w:rsid w:val="008D7EF3"/>
    <w:rsid w:val="008E0830"/>
    <w:rsid w:val="008E09EC"/>
    <w:rsid w:val="008E1080"/>
    <w:rsid w:val="008E249C"/>
    <w:rsid w:val="008E291C"/>
    <w:rsid w:val="008E2930"/>
    <w:rsid w:val="008E2BFE"/>
    <w:rsid w:val="008E33A4"/>
    <w:rsid w:val="008E361B"/>
    <w:rsid w:val="008E3DE3"/>
    <w:rsid w:val="008E4011"/>
    <w:rsid w:val="008E4CCB"/>
    <w:rsid w:val="008E5358"/>
    <w:rsid w:val="008E53AF"/>
    <w:rsid w:val="008E6D1F"/>
    <w:rsid w:val="008E72DD"/>
    <w:rsid w:val="008E7D40"/>
    <w:rsid w:val="008F02EA"/>
    <w:rsid w:val="008F043C"/>
    <w:rsid w:val="008F0C0C"/>
    <w:rsid w:val="008F1120"/>
    <w:rsid w:val="008F1174"/>
    <w:rsid w:val="008F1687"/>
    <w:rsid w:val="008F16A8"/>
    <w:rsid w:val="008F186B"/>
    <w:rsid w:val="008F1A7C"/>
    <w:rsid w:val="008F24D8"/>
    <w:rsid w:val="008F2A17"/>
    <w:rsid w:val="008F3581"/>
    <w:rsid w:val="008F3A52"/>
    <w:rsid w:val="008F3CA4"/>
    <w:rsid w:val="008F3F3A"/>
    <w:rsid w:val="008F435D"/>
    <w:rsid w:val="008F450D"/>
    <w:rsid w:val="008F4843"/>
    <w:rsid w:val="008F49E9"/>
    <w:rsid w:val="008F5C6F"/>
    <w:rsid w:val="008F62AA"/>
    <w:rsid w:val="008F64F1"/>
    <w:rsid w:val="008F65BE"/>
    <w:rsid w:val="008F7037"/>
    <w:rsid w:val="008F7117"/>
    <w:rsid w:val="008F774E"/>
    <w:rsid w:val="008F7833"/>
    <w:rsid w:val="00900D60"/>
    <w:rsid w:val="00900EB2"/>
    <w:rsid w:val="00900F58"/>
    <w:rsid w:val="00901538"/>
    <w:rsid w:val="00901DBD"/>
    <w:rsid w:val="0090281D"/>
    <w:rsid w:val="009028CF"/>
    <w:rsid w:val="00902A40"/>
    <w:rsid w:val="00902A73"/>
    <w:rsid w:val="00903244"/>
    <w:rsid w:val="00903553"/>
    <w:rsid w:val="0090383A"/>
    <w:rsid w:val="00903958"/>
    <w:rsid w:val="00903BEC"/>
    <w:rsid w:val="009043B7"/>
    <w:rsid w:val="009046CF"/>
    <w:rsid w:val="009049A4"/>
    <w:rsid w:val="00904B53"/>
    <w:rsid w:val="0090679D"/>
    <w:rsid w:val="00907046"/>
    <w:rsid w:val="009074D9"/>
    <w:rsid w:val="009076E8"/>
    <w:rsid w:val="009102A8"/>
    <w:rsid w:val="00910CFF"/>
    <w:rsid w:val="00910F1A"/>
    <w:rsid w:val="00912265"/>
    <w:rsid w:val="0091287A"/>
    <w:rsid w:val="00912E91"/>
    <w:rsid w:val="00912FA6"/>
    <w:rsid w:val="00913521"/>
    <w:rsid w:val="0091357C"/>
    <w:rsid w:val="009148DF"/>
    <w:rsid w:val="0091524D"/>
    <w:rsid w:val="00915766"/>
    <w:rsid w:val="00916039"/>
    <w:rsid w:val="00916618"/>
    <w:rsid w:val="009172EF"/>
    <w:rsid w:val="009173D9"/>
    <w:rsid w:val="00917A0B"/>
    <w:rsid w:val="009202B5"/>
    <w:rsid w:val="00920834"/>
    <w:rsid w:val="00921953"/>
    <w:rsid w:val="00921F09"/>
    <w:rsid w:val="00922F49"/>
    <w:rsid w:val="0092392D"/>
    <w:rsid w:val="00923AC0"/>
    <w:rsid w:val="00923B91"/>
    <w:rsid w:val="0092490D"/>
    <w:rsid w:val="00924A98"/>
    <w:rsid w:val="00924B0D"/>
    <w:rsid w:val="00924B53"/>
    <w:rsid w:val="00924B84"/>
    <w:rsid w:val="009254DD"/>
    <w:rsid w:val="009256A2"/>
    <w:rsid w:val="00925991"/>
    <w:rsid w:val="00925B93"/>
    <w:rsid w:val="009260B9"/>
    <w:rsid w:val="0092644C"/>
    <w:rsid w:val="00926D3B"/>
    <w:rsid w:val="009271FF"/>
    <w:rsid w:val="00927672"/>
    <w:rsid w:val="00927E83"/>
    <w:rsid w:val="00927FBA"/>
    <w:rsid w:val="009304C6"/>
    <w:rsid w:val="009307B3"/>
    <w:rsid w:val="00931410"/>
    <w:rsid w:val="009314AA"/>
    <w:rsid w:val="00931B04"/>
    <w:rsid w:val="00931CE6"/>
    <w:rsid w:val="00932409"/>
    <w:rsid w:val="009329DB"/>
    <w:rsid w:val="00932A69"/>
    <w:rsid w:val="00932B1F"/>
    <w:rsid w:val="00933CA2"/>
    <w:rsid w:val="00933EC1"/>
    <w:rsid w:val="00934029"/>
    <w:rsid w:val="00934B08"/>
    <w:rsid w:val="00934B21"/>
    <w:rsid w:val="00934BB1"/>
    <w:rsid w:val="009351D0"/>
    <w:rsid w:val="00935796"/>
    <w:rsid w:val="0093652A"/>
    <w:rsid w:val="00936E3A"/>
    <w:rsid w:val="0093750F"/>
    <w:rsid w:val="0093773E"/>
    <w:rsid w:val="00937AE4"/>
    <w:rsid w:val="0094049B"/>
    <w:rsid w:val="009408D4"/>
    <w:rsid w:val="00940C70"/>
    <w:rsid w:val="00941042"/>
    <w:rsid w:val="0094108C"/>
    <w:rsid w:val="0094160D"/>
    <w:rsid w:val="00943647"/>
    <w:rsid w:val="00944167"/>
    <w:rsid w:val="00944505"/>
    <w:rsid w:val="00945758"/>
    <w:rsid w:val="00945CCC"/>
    <w:rsid w:val="0094601E"/>
    <w:rsid w:val="00946762"/>
    <w:rsid w:val="00946911"/>
    <w:rsid w:val="00946BD5"/>
    <w:rsid w:val="00947BA6"/>
    <w:rsid w:val="00947E6B"/>
    <w:rsid w:val="00947FE2"/>
    <w:rsid w:val="0095014A"/>
    <w:rsid w:val="00950C12"/>
    <w:rsid w:val="009516A5"/>
    <w:rsid w:val="00951BE7"/>
    <w:rsid w:val="009526D1"/>
    <w:rsid w:val="009528D0"/>
    <w:rsid w:val="00952B5E"/>
    <w:rsid w:val="009536B7"/>
    <w:rsid w:val="00953821"/>
    <w:rsid w:val="00953B7D"/>
    <w:rsid w:val="00954514"/>
    <w:rsid w:val="00954690"/>
    <w:rsid w:val="00955067"/>
    <w:rsid w:val="00955DBD"/>
    <w:rsid w:val="009566EC"/>
    <w:rsid w:val="00956A63"/>
    <w:rsid w:val="00957C49"/>
    <w:rsid w:val="00960836"/>
    <w:rsid w:val="00960AD2"/>
    <w:rsid w:val="009612E6"/>
    <w:rsid w:val="00961327"/>
    <w:rsid w:val="0096170D"/>
    <w:rsid w:val="009618E2"/>
    <w:rsid w:val="00961CE5"/>
    <w:rsid w:val="0096265B"/>
    <w:rsid w:val="00963011"/>
    <w:rsid w:val="00963B21"/>
    <w:rsid w:val="00963DEC"/>
    <w:rsid w:val="00963F73"/>
    <w:rsid w:val="00964017"/>
    <w:rsid w:val="0096430D"/>
    <w:rsid w:val="00964C78"/>
    <w:rsid w:val="00965A31"/>
    <w:rsid w:val="00965AA7"/>
    <w:rsid w:val="00965D09"/>
    <w:rsid w:val="00965D0A"/>
    <w:rsid w:val="00966649"/>
    <w:rsid w:val="00966AD1"/>
    <w:rsid w:val="009678B9"/>
    <w:rsid w:val="0096792E"/>
    <w:rsid w:val="00971C08"/>
    <w:rsid w:val="00971EA3"/>
    <w:rsid w:val="00971EAB"/>
    <w:rsid w:val="0097212F"/>
    <w:rsid w:val="00972BCE"/>
    <w:rsid w:val="00972C5E"/>
    <w:rsid w:val="00972C87"/>
    <w:rsid w:val="00972E0E"/>
    <w:rsid w:val="00973323"/>
    <w:rsid w:val="00973997"/>
    <w:rsid w:val="00973AA4"/>
    <w:rsid w:val="00973ECA"/>
    <w:rsid w:val="00973ECB"/>
    <w:rsid w:val="00974C65"/>
    <w:rsid w:val="00975705"/>
    <w:rsid w:val="00975767"/>
    <w:rsid w:val="009757BB"/>
    <w:rsid w:val="00975BD0"/>
    <w:rsid w:val="00975FAC"/>
    <w:rsid w:val="009774E4"/>
    <w:rsid w:val="0097783E"/>
    <w:rsid w:val="0098065C"/>
    <w:rsid w:val="00980677"/>
    <w:rsid w:val="009815CF"/>
    <w:rsid w:val="00982676"/>
    <w:rsid w:val="009826B6"/>
    <w:rsid w:val="00983349"/>
    <w:rsid w:val="00983681"/>
    <w:rsid w:val="00983D4D"/>
    <w:rsid w:val="00984302"/>
    <w:rsid w:val="00984515"/>
    <w:rsid w:val="009849C7"/>
    <w:rsid w:val="00985229"/>
    <w:rsid w:val="00985E8C"/>
    <w:rsid w:val="00986B31"/>
    <w:rsid w:val="00986B4D"/>
    <w:rsid w:val="0098791B"/>
    <w:rsid w:val="00987D72"/>
    <w:rsid w:val="00987E79"/>
    <w:rsid w:val="0099003A"/>
    <w:rsid w:val="009906BD"/>
    <w:rsid w:val="00990A40"/>
    <w:rsid w:val="00990D04"/>
    <w:rsid w:val="00991BD2"/>
    <w:rsid w:val="00991F4E"/>
    <w:rsid w:val="00992252"/>
    <w:rsid w:val="00992CFC"/>
    <w:rsid w:val="009937C1"/>
    <w:rsid w:val="009944A7"/>
    <w:rsid w:val="00994719"/>
    <w:rsid w:val="0099473C"/>
    <w:rsid w:val="009947C5"/>
    <w:rsid w:val="00994809"/>
    <w:rsid w:val="009959D1"/>
    <w:rsid w:val="00995A46"/>
    <w:rsid w:val="00995A78"/>
    <w:rsid w:val="00995C2D"/>
    <w:rsid w:val="00995C41"/>
    <w:rsid w:val="00995CBA"/>
    <w:rsid w:val="00995EB3"/>
    <w:rsid w:val="0099637E"/>
    <w:rsid w:val="009963C3"/>
    <w:rsid w:val="00996749"/>
    <w:rsid w:val="0099681E"/>
    <w:rsid w:val="00996A1C"/>
    <w:rsid w:val="00996C4C"/>
    <w:rsid w:val="00997450"/>
    <w:rsid w:val="009977D1"/>
    <w:rsid w:val="00997B4B"/>
    <w:rsid w:val="009A07A5"/>
    <w:rsid w:val="009A14A4"/>
    <w:rsid w:val="009A1B37"/>
    <w:rsid w:val="009A23D7"/>
    <w:rsid w:val="009A2D5F"/>
    <w:rsid w:val="009A3041"/>
    <w:rsid w:val="009A342E"/>
    <w:rsid w:val="009A34CE"/>
    <w:rsid w:val="009A3ABC"/>
    <w:rsid w:val="009A3E36"/>
    <w:rsid w:val="009A48AB"/>
    <w:rsid w:val="009A4988"/>
    <w:rsid w:val="009A49DB"/>
    <w:rsid w:val="009A4A82"/>
    <w:rsid w:val="009A4E93"/>
    <w:rsid w:val="009A4FB3"/>
    <w:rsid w:val="009A52A9"/>
    <w:rsid w:val="009A52AC"/>
    <w:rsid w:val="009A539E"/>
    <w:rsid w:val="009A57F7"/>
    <w:rsid w:val="009A5E0B"/>
    <w:rsid w:val="009A62C0"/>
    <w:rsid w:val="009A6A49"/>
    <w:rsid w:val="009A75B3"/>
    <w:rsid w:val="009A7681"/>
    <w:rsid w:val="009A78F9"/>
    <w:rsid w:val="009A7EBD"/>
    <w:rsid w:val="009B000B"/>
    <w:rsid w:val="009B02A4"/>
    <w:rsid w:val="009B0581"/>
    <w:rsid w:val="009B0861"/>
    <w:rsid w:val="009B09FE"/>
    <w:rsid w:val="009B0A96"/>
    <w:rsid w:val="009B0D22"/>
    <w:rsid w:val="009B12A5"/>
    <w:rsid w:val="009B1702"/>
    <w:rsid w:val="009B1B7D"/>
    <w:rsid w:val="009B223E"/>
    <w:rsid w:val="009B24A4"/>
    <w:rsid w:val="009B2B2E"/>
    <w:rsid w:val="009B30AF"/>
    <w:rsid w:val="009B35A9"/>
    <w:rsid w:val="009B38E4"/>
    <w:rsid w:val="009B3C47"/>
    <w:rsid w:val="009B4C80"/>
    <w:rsid w:val="009B4DBE"/>
    <w:rsid w:val="009B4EE5"/>
    <w:rsid w:val="009B50CA"/>
    <w:rsid w:val="009B5837"/>
    <w:rsid w:val="009B5F23"/>
    <w:rsid w:val="009B6A1E"/>
    <w:rsid w:val="009B6E55"/>
    <w:rsid w:val="009B726F"/>
    <w:rsid w:val="009B792E"/>
    <w:rsid w:val="009C0719"/>
    <w:rsid w:val="009C0A8C"/>
    <w:rsid w:val="009C1881"/>
    <w:rsid w:val="009C1BF3"/>
    <w:rsid w:val="009C2477"/>
    <w:rsid w:val="009C284B"/>
    <w:rsid w:val="009C2CF3"/>
    <w:rsid w:val="009C3053"/>
    <w:rsid w:val="009C333A"/>
    <w:rsid w:val="009C3BBA"/>
    <w:rsid w:val="009C3E88"/>
    <w:rsid w:val="009C460A"/>
    <w:rsid w:val="009C4869"/>
    <w:rsid w:val="009C4A9C"/>
    <w:rsid w:val="009C4B66"/>
    <w:rsid w:val="009C5E37"/>
    <w:rsid w:val="009C6506"/>
    <w:rsid w:val="009C6C12"/>
    <w:rsid w:val="009C7113"/>
    <w:rsid w:val="009C73FC"/>
    <w:rsid w:val="009C7738"/>
    <w:rsid w:val="009C7C23"/>
    <w:rsid w:val="009D070C"/>
    <w:rsid w:val="009D0BF4"/>
    <w:rsid w:val="009D135B"/>
    <w:rsid w:val="009D1BBA"/>
    <w:rsid w:val="009D1C23"/>
    <w:rsid w:val="009D1D1F"/>
    <w:rsid w:val="009D2288"/>
    <w:rsid w:val="009D269C"/>
    <w:rsid w:val="009D2827"/>
    <w:rsid w:val="009D2FA3"/>
    <w:rsid w:val="009D3506"/>
    <w:rsid w:val="009D4636"/>
    <w:rsid w:val="009D4F25"/>
    <w:rsid w:val="009D55C4"/>
    <w:rsid w:val="009D58F3"/>
    <w:rsid w:val="009D5EF4"/>
    <w:rsid w:val="009D6354"/>
    <w:rsid w:val="009D6610"/>
    <w:rsid w:val="009D6AFA"/>
    <w:rsid w:val="009D74B0"/>
    <w:rsid w:val="009D76B4"/>
    <w:rsid w:val="009D79E3"/>
    <w:rsid w:val="009D7A12"/>
    <w:rsid w:val="009E037B"/>
    <w:rsid w:val="009E0580"/>
    <w:rsid w:val="009E0CBF"/>
    <w:rsid w:val="009E18D2"/>
    <w:rsid w:val="009E1921"/>
    <w:rsid w:val="009E30C9"/>
    <w:rsid w:val="009E3479"/>
    <w:rsid w:val="009E3C9C"/>
    <w:rsid w:val="009E449E"/>
    <w:rsid w:val="009E4BF2"/>
    <w:rsid w:val="009E4D00"/>
    <w:rsid w:val="009E4DF2"/>
    <w:rsid w:val="009E599D"/>
    <w:rsid w:val="009E5B3B"/>
    <w:rsid w:val="009E5DF8"/>
    <w:rsid w:val="009E5E73"/>
    <w:rsid w:val="009E61D5"/>
    <w:rsid w:val="009E61DF"/>
    <w:rsid w:val="009E6C57"/>
    <w:rsid w:val="009E7218"/>
    <w:rsid w:val="009E75B5"/>
    <w:rsid w:val="009E7B7D"/>
    <w:rsid w:val="009F037B"/>
    <w:rsid w:val="009F05F2"/>
    <w:rsid w:val="009F0953"/>
    <w:rsid w:val="009F0B83"/>
    <w:rsid w:val="009F1537"/>
    <w:rsid w:val="009F18B2"/>
    <w:rsid w:val="009F2454"/>
    <w:rsid w:val="009F24E3"/>
    <w:rsid w:val="009F27B6"/>
    <w:rsid w:val="009F2AA8"/>
    <w:rsid w:val="009F2FB2"/>
    <w:rsid w:val="009F30CE"/>
    <w:rsid w:val="009F32B2"/>
    <w:rsid w:val="009F35D5"/>
    <w:rsid w:val="009F3752"/>
    <w:rsid w:val="009F443C"/>
    <w:rsid w:val="009F4464"/>
    <w:rsid w:val="009F4F71"/>
    <w:rsid w:val="009F5305"/>
    <w:rsid w:val="009F578B"/>
    <w:rsid w:val="009F58D3"/>
    <w:rsid w:val="009F5DA0"/>
    <w:rsid w:val="009F653E"/>
    <w:rsid w:val="009F66D3"/>
    <w:rsid w:val="009F6702"/>
    <w:rsid w:val="009F7672"/>
    <w:rsid w:val="009F7CD4"/>
    <w:rsid w:val="00A0054B"/>
    <w:rsid w:val="00A008CA"/>
    <w:rsid w:val="00A00FEC"/>
    <w:rsid w:val="00A01F0E"/>
    <w:rsid w:val="00A02004"/>
    <w:rsid w:val="00A022B9"/>
    <w:rsid w:val="00A02AEC"/>
    <w:rsid w:val="00A02EF2"/>
    <w:rsid w:val="00A034AD"/>
    <w:rsid w:val="00A03812"/>
    <w:rsid w:val="00A04656"/>
    <w:rsid w:val="00A058E1"/>
    <w:rsid w:val="00A05932"/>
    <w:rsid w:val="00A05DD3"/>
    <w:rsid w:val="00A06156"/>
    <w:rsid w:val="00A06F4B"/>
    <w:rsid w:val="00A07033"/>
    <w:rsid w:val="00A07E4E"/>
    <w:rsid w:val="00A07FB0"/>
    <w:rsid w:val="00A10B36"/>
    <w:rsid w:val="00A1106B"/>
    <w:rsid w:val="00A11857"/>
    <w:rsid w:val="00A119B6"/>
    <w:rsid w:val="00A11B4B"/>
    <w:rsid w:val="00A11C67"/>
    <w:rsid w:val="00A11CD5"/>
    <w:rsid w:val="00A138F9"/>
    <w:rsid w:val="00A153A0"/>
    <w:rsid w:val="00A154E9"/>
    <w:rsid w:val="00A16114"/>
    <w:rsid w:val="00A16CFF"/>
    <w:rsid w:val="00A1702A"/>
    <w:rsid w:val="00A173C6"/>
    <w:rsid w:val="00A20E58"/>
    <w:rsid w:val="00A21205"/>
    <w:rsid w:val="00A21E6F"/>
    <w:rsid w:val="00A22663"/>
    <w:rsid w:val="00A228CB"/>
    <w:rsid w:val="00A22E74"/>
    <w:rsid w:val="00A231A9"/>
    <w:rsid w:val="00A235AA"/>
    <w:rsid w:val="00A23BCC"/>
    <w:rsid w:val="00A23C2F"/>
    <w:rsid w:val="00A23D37"/>
    <w:rsid w:val="00A23D4C"/>
    <w:rsid w:val="00A24A0F"/>
    <w:rsid w:val="00A24B0F"/>
    <w:rsid w:val="00A24B2F"/>
    <w:rsid w:val="00A24D55"/>
    <w:rsid w:val="00A25B29"/>
    <w:rsid w:val="00A26375"/>
    <w:rsid w:val="00A2724F"/>
    <w:rsid w:val="00A2769D"/>
    <w:rsid w:val="00A2777D"/>
    <w:rsid w:val="00A30338"/>
    <w:rsid w:val="00A3061C"/>
    <w:rsid w:val="00A30B3A"/>
    <w:rsid w:val="00A319C1"/>
    <w:rsid w:val="00A31C75"/>
    <w:rsid w:val="00A31E12"/>
    <w:rsid w:val="00A327A0"/>
    <w:rsid w:val="00A3303F"/>
    <w:rsid w:val="00A33C09"/>
    <w:rsid w:val="00A33E59"/>
    <w:rsid w:val="00A34AB5"/>
    <w:rsid w:val="00A34D0C"/>
    <w:rsid w:val="00A3545D"/>
    <w:rsid w:val="00A355FE"/>
    <w:rsid w:val="00A358A6"/>
    <w:rsid w:val="00A35908"/>
    <w:rsid w:val="00A35BEE"/>
    <w:rsid w:val="00A35DFA"/>
    <w:rsid w:val="00A35E58"/>
    <w:rsid w:val="00A367BE"/>
    <w:rsid w:val="00A36DE6"/>
    <w:rsid w:val="00A37632"/>
    <w:rsid w:val="00A3791F"/>
    <w:rsid w:val="00A37B01"/>
    <w:rsid w:val="00A37C53"/>
    <w:rsid w:val="00A40581"/>
    <w:rsid w:val="00A408E1"/>
    <w:rsid w:val="00A40FA8"/>
    <w:rsid w:val="00A4161F"/>
    <w:rsid w:val="00A4170E"/>
    <w:rsid w:val="00A4200A"/>
    <w:rsid w:val="00A42AA6"/>
    <w:rsid w:val="00A42BA2"/>
    <w:rsid w:val="00A42BF3"/>
    <w:rsid w:val="00A431E5"/>
    <w:rsid w:val="00A4342F"/>
    <w:rsid w:val="00A43613"/>
    <w:rsid w:val="00A43909"/>
    <w:rsid w:val="00A43B40"/>
    <w:rsid w:val="00A43B89"/>
    <w:rsid w:val="00A43EC4"/>
    <w:rsid w:val="00A443A4"/>
    <w:rsid w:val="00A4471D"/>
    <w:rsid w:val="00A44864"/>
    <w:rsid w:val="00A44E3E"/>
    <w:rsid w:val="00A45146"/>
    <w:rsid w:val="00A4579B"/>
    <w:rsid w:val="00A4616D"/>
    <w:rsid w:val="00A461AA"/>
    <w:rsid w:val="00A462BE"/>
    <w:rsid w:val="00A47C22"/>
    <w:rsid w:val="00A5062F"/>
    <w:rsid w:val="00A512CF"/>
    <w:rsid w:val="00A51615"/>
    <w:rsid w:val="00A51C05"/>
    <w:rsid w:val="00A521BD"/>
    <w:rsid w:val="00A52831"/>
    <w:rsid w:val="00A5430C"/>
    <w:rsid w:val="00A5496B"/>
    <w:rsid w:val="00A552FF"/>
    <w:rsid w:val="00A553B3"/>
    <w:rsid w:val="00A55B80"/>
    <w:rsid w:val="00A55D74"/>
    <w:rsid w:val="00A55E9B"/>
    <w:rsid w:val="00A5605D"/>
    <w:rsid w:val="00A56C43"/>
    <w:rsid w:val="00A5704B"/>
    <w:rsid w:val="00A576AF"/>
    <w:rsid w:val="00A57A9B"/>
    <w:rsid w:val="00A60304"/>
    <w:rsid w:val="00A604F0"/>
    <w:rsid w:val="00A60B0B"/>
    <w:rsid w:val="00A610ED"/>
    <w:rsid w:val="00A61545"/>
    <w:rsid w:val="00A61744"/>
    <w:rsid w:val="00A61B2B"/>
    <w:rsid w:val="00A61D6E"/>
    <w:rsid w:val="00A62498"/>
    <w:rsid w:val="00A637BC"/>
    <w:rsid w:val="00A6462C"/>
    <w:rsid w:val="00A6471E"/>
    <w:rsid w:val="00A64D54"/>
    <w:rsid w:val="00A64EBC"/>
    <w:rsid w:val="00A655EA"/>
    <w:rsid w:val="00A65FCD"/>
    <w:rsid w:val="00A66862"/>
    <w:rsid w:val="00A66E04"/>
    <w:rsid w:val="00A66FA9"/>
    <w:rsid w:val="00A676DE"/>
    <w:rsid w:val="00A67830"/>
    <w:rsid w:val="00A679F4"/>
    <w:rsid w:val="00A67BA5"/>
    <w:rsid w:val="00A67E02"/>
    <w:rsid w:val="00A70205"/>
    <w:rsid w:val="00A7031E"/>
    <w:rsid w:val="00A70355"/>
    <w:rsid w:val="00A70360"/>
    <w:rsid w:val="00A7065B"/>
    <w:rsid w:val="00A70932"/>
    <w:rsid w:val="00A70AC3"/>
    <w:rsid w:val="00A713F6"/>
    <w:rsid w:val="00A714AC"/>
    <w:rsid w:val="00A71F42"/>
    <w:rsid w:val="00A721F6"/>
    <w:rsid w:val="00A722B2"/>
    <w:rsid w:val="00A72639"/>
    <w:rsid w:val="00A72A47"/>
    <w:rsid w:val="00A73429"/>
    <w:rsid w:val="00A734D7"/>
    <w:rsid w:val="00A735A0"/>
    <w:rsid w:val="00A73DA4"/>
    <w:rsid w:val="00A73FD8"/>
    <w:rsid w:val="00A74111"/>
    <w:rsid w:val="00A75896"/>
    <w:rsid w:val="00A760A9"/>
    <w:rsid w:val="00A766A5"/>
    <w:rsid w:val="00A76A1E"/>
    <w:rsid w:val="00A76BA4"/>
    <w:rsid w:val="00A771A6"/>
    <w:rsid w:val="00A77824"/>
    <w:rsid w:val="00A80213"/>
    <w:rsid w:val="00A802E7"/>
    <w:rsid w:val="00A80727"/>
    <w:rsid w:val="00A807C4"/>
    <w:rsid w:val="00A80813"/>
    <w:rsid w:val="00A8098B"/>
    <w:rsid w:val="00A80CA8"/>
    <w:rsid w:val="00A81177"/>
    <w:rsid w:val="00A8129E"/>
    <w:rsid w:val="00A82EFA"/>
    <w:rsid w:val="00A82F9C"/>
    <w:rsid w:val="00A838CE"/>
    <w:rsid w:val="00A83E6F"/>
    <w:rsid w:val="00A84B02"/>
    <w:rsid w:val="00A84D9F"/>
    <w:rsid w:val="00A84F81"/>
    <w:rsid w:val="00A85458"/>
    <w:rsid w:val="00A85F14"/>
    <w:rsid w:val="00A8609A"/>
    <w:rsid w:val="00A865DB"/>
    <w:rsid w:val="00A870E4"/>
    <w:rsid w:val="00A8720F"/>
    <w:rsid w:val="00A873FB"/>
    <w:rsid w:val="00A87837"/>
    <w:rsid w:val="00A87852"/>
    <w:rsid w:val="00A87D94"/>
    <w:rsid w:val="00A900B5"/>
    <w:rsid w:val="00A90372"/>
    <w:rsid w:val="00A904CD"/>
    <w:rsid w:val="00A9068F"/>
    <w:rsid w:val="00A90A39"/>
    <w:rsid w:val="00A9123B"/>
    <w:rsid w:val="00A914C6"/>
    <w:rsid w:val="00A91E63"/>
    <w:rsid w:val="00A91F26"/>
    <w:rsid w:val="00A923B8"/>
    <w:rsid w:val="00A92451"/>
    <w:rsid w:val="00A928DF"/>
    <w:rsid w:val="00A9358A"/>
    <w:rsid w:val="00A939C4"/>
    <w:rsid w:val="00A93D41"/>
    <w:rsid w:val="00A93E0D"/>
    <w:rsid w:val="00A94006"/>
    <w:rsid w:val="00A9417D"/>
    <w:rsid w:val="00A9425C"/>
    <w:rsid w:val="00A9430A"/>
    <w:rsid w:val="00A9443E"/>
    <w:rsid w:val="00A94B0B"/>
    <w:rsid w:val="00A9541B"/>
    <w:rsid w:val="00A95A9A"/>
    <w:rsid w:val="00A95CBC"/>
    <w:rsid w:val="00A96496"/>
    <w:rsid w:val="00A9668D"/>
    <w:rsid w:val="00A9686A"/>
    <w:rsid w:val="00A96D2B"/>
    <w:rsid w:val="00A96E90"/>
    <w:rsid w:val="00A96ED3"/>
    <w:rsid w:val="00A96F0C"/>
    <w:rsid w:val="00A97936"/>
    <w:rsid w:val="00A97C2C"/>
    <w:rsid w:val="00A97EC8"/>
    <w:rsid w:val="00AA09FB"/>
    <w:rsid w:val="00AA0B27"/>
    <w:rsid w:val="00AA0D3B"/>
    <w:rsid w:val="00AA0D3D"/>
    <w:rsid w:val="00AA118D"/>
    <w:rsid w:val="00AA2401"/>
    <w:rsid w:val="00AA2406"/>
    <w:rsid w:val="00AA2A7C"/>
    <w:rsid w:val="00AA3223"/>
    <w:rsid w:val="00AA33FB"/>
    <w:rsid w:val="00AA3C2B"/>
    <w:rsid w:val="00AA420A"/>
    <w:rsid w:val="00AA497B"/>
    <w:rsid w:val="00AA4BB1"/>
    <w:rsid w:val="00AA4F48"/>
    <w:rsid w:val="00AA4FAB"/>
    <w:rsid w:val="00AA604B"/>
    <w:rsid w:val="00AA616A"/>
    <w:rsid w:val="00AA6B5E"/>
    <w:rsid w:val="00AA709B"/>
    <w:rsid w:val="00AA71AC"/>
    <w:rsid w:val="00AA7952"/>
    <w:rsid w:val="00AA7971"/>
    <w:rsid w:val="00AA7A12"/>
    <w:rsid w:val="00AA7DB1"/>
    <w:rsid w:val="00AB0C1B"/>
    <w:rsid w:val="00AB0CFA"/>
    <w:rsid w:val="00AB124D"/>
    <w:rsid w:val="00AB1402"/>
    <w:rsid w:val="00AB16CF"/>
    <w:rsid w:val="00AB2985"/>
    <w:rsid w:val="00AB2CDD"/>
    <w:rsid w:val="00AB2F0B"/>
    <w:rsid w:val="00AB330E"/>
    <w:rsid w:val="00AB3398"/>
    <w:rsid w:val="00AB33EE"/>
    <w:rsid w:val="00AB402B"/>
    <w:rsid w:val="00AB42FF"/>
    <w:rsid w:val="00AB4491"/>
    <w:rsid w:val="00AB4DBE"/>
    <w:rsid w:val="00AB52F1"/>
    <w:rsid w:val="00AB59A0"/>
    <w:rsid w:val="00AB60A4"/>
    <w:rsid w:val="00AB648A"/>
    <w:rsid w:val="00AB67C5"/>
    <w:rsid w:val="00AB6EF1"/>
    <w:rsid w:val="00AB75C6"/>
    <w:rsid w:val="00AC0818"/>
    <w:rsid w:val="00AC08E1"/>
    <w:rsid w:val="00AC1641"/>
    <w:rsid w:val="00AC1D5A"/>
    <w:rsid w:val="00AC201A"/>
    <w:rsid w:val="00AC24CA"/>
    <w:rsid w:val="00AC2692"/>
    <w:rsid w:val="00AC2DD3"/>
    <w:rsid w:val="00AC301F"/>
    <w:rsid w:val="00AC307A"/>
    <w:rsid w:val="00AC36D1"/>
    <w:rsid w:val="00AC3E98"/>
    <w:rsid w:val="00AC3F8D"/>
    <w:rsid w:val="00AC3FCE"/>
    <w:rsid w:val="00AC453C"/>
    <w:rsid w:val="00AC45C0"/>
    <w:rsid w:val="00AC48BC"/>
    <w:rsid w:val="00AC4944"/>
    <w:rsid w:val="00AC5045"/>
    <w:rsid w:val="00AC5B80"/>
    <w:rsid w:val="00AC6508"/>
    <w:rsid w:val="00AC661F"/>
    <w:rsid w:val="00AC6C6A"/>
    <w:rsid w:val="00AC6CE4"/>
    <w:rsid w:val="00AC6D58"/>
    <w:rsid w:val="00AC6ED5"/>
    <w:rsid w:val="00AC6FCC"/>
    <w:rsid w:val="00AC7EFB"/>
    <w:rsid w:val="00AD00D7"/>
    <w:rsid w:val="00AD023C"/>
    <w:rsid w:val="00AD0490"/>
    <w:rsid w:val="00AD0691"/>
    <w:rsid w:val="00AD0831"/>
    <w:rsid w:val="00AD096F"/>
    <w:rsid w:val="00AD0DEF"/>
    <w:rsid w:val="00AD12C8"/>
    <w:rsid w:val="00AD13D4"/>
    <w:rsid w:val="00AD2997"/>
    <w:rsid w:val="00AD2A5D"/>
    <w:rsid w:val="00AD2A7F"/>
    <w:rsid w:val="00AD2B5D"/>
    <w:rsid w:val="00AD2CB4"/>
    <w:rsid w:val="00AD2D98"/>
    <w:rsid w:val="00AD3483"/>
    <w:rsid w:val="00AD37D0"/>
    <w:rsid w:val="00AD403D"/>
    <w:rsid w:val="00AD44A7"/>
    <w:rsid w:val="00AD59B8"/>
    <w:rsid w:val="00AD605C"/>
    <w:rsid w:val="00AD63F2"/>
    <w:rsid w:val="00AD664C"/>
    <w:rsid w:val="00AD673A"/>
    <w:rsid w:val="00AD720A"/>
    <w:rsid w:val="00AD760A"/>
    <w:rsid w:val="00AD7B6B"/>
    <w:rsid w:val="00AD7D7C"/>
    <w:rsid w:val="00AD7FF6"/>
    <w:rsid w:val="00AE054F"/>
    <w:rsid w:val="00AE0805"/>
    <w:rsid w:val="00AE0B0A"/>
    <w:rsid w:val="00AE0D27"/>
    <w:rsid w:val="00AE0DE8"/>
    <w:rsid w:val="00AE0EA4"/>
    <w:rsid w:val="00AE11BB"/>
    <w:rsid w:val="00AE14B6"/>
    <w:rsid w:val="00AE1C67"/>
    <w:rsid w:val="00AE29EA"/>
    <w:rsid w:val="00AE2B94"/>
    <w:rsid w:val="00AE2CF2"/>
    <w:rsid w:val="00AE341A"/>
    <w:rsid w:val="00AE38AB"/>
    <w:rsid w:val="00AE3B8D"/>
    <w:rsid w:val="00AE3DD8"/>
    <w:rsid w:val="00AE414F"/>
    <w:rsid w:val="00AE4277"/>
    <w:rsid w:val="00AE469B"/>
    <w:rsid w:val="00AE4967"/>
    <w:rsid w:val="00AE4D71"/>
    <w:rsid w:val="00AE4EEE"/>
    <w:rsid w:val="00AE53AC"/>
    <w:rsid w:val="00AE54E4"/>
    <w:rsid w:val="00AE55F6"/>
    <w:rsid w:val="00AE573E"/>
    <w:rsid w:val="00AE5A06"/>
    <w:rsid w:val="00AE6B5C"/>
    <w:rsid w:val="00AE6E72"/>
    <w:rsid w:val="00AE72F0"/>
    <w:rsid w:val="00AE7571"/>
    <w:rsid w:val="00AF0189"/>
    <w:rsid w:val="00AF0227"/>
    <w:rsid w:val="00AF07A2"/>
    <w:rsid w:val="00AF0C88"/>
    <w:rsid w:val="00AF0E15"/>
    <w:rsid w:val="00AF0E1F"/>
    <w:rsid w:val="00AF0F1A"/>
    <w:rsid w:val="00AF10CB"/>
    <w:rsid w:val="00AF1680"/>
    <w:rsid w:val="00AF173C"/>
    <w:rsid w:val="00AF173F"/>
    <w:rsid w:val="00AF19B1"/>
    <w:rsid w:val="00AF1BAD"/>
    <w:rsid w:val="00AF2065"/>
    <w:rsid w:val="00AF23E3"/>
    <w:rsid w:val="00AF2A88"/>
    <w:rsid w:val="00AF407B"/>
    <w:rsid w:val="00AF4080"/>
    <w:rsid w:val="00AF44EE"/>
    <w:rsid w:val="00AF47C0"/>
    <w:rsid w:val="00AF47C7"/>
    <w:rsid w:val="00AF4D2A"/>
    <w:rsid w:val="00AF4EFF"/>
    <w:rsid w:val="00AF65C8"/>
    <w:rsid w:val="00AF6C50"/>
    <w:rsid w:val="00AF6D4A"/>
    <w:rsid w:val="00AF6EAA"/>
    <w:rsid w:val="00AF758A"/>
    <w:rsid w:val="00AF79B5"/>
    <w:rsid w:val="00AF7FE9"/>
    <w:rsid w:val="00B00509"/>
    <w:rsid w:val="00B007BA"/>
    <w:rsid w:val="00B009A8"/>
    <w:rsid w:val="00B01172"/>
    <w:rsid w:val="00B0164C"/>
    <w:rsid w:val="00B02798"/>
    <w:rsid w:val="00B027C9"/>
    <w:rsid w:val="00B03A18"/>
    <w:rsid w:val="00B03DBD"/>
    <w:rsid w:val="00B03FA3"/>
    <w:rsid w:val="00B0407D"/>
    <w:rsid w:val="00B041FE"/>
    <w:rsid w:val="00B0433D"/>
    <w:rsid w:val="00B04C5F"/>
    <w:rsid w:val="00B0517E"/>
    <w:rsid w:val="00B06281"/>
    <w:rsid w:val="00B062B2"/>
    <w:rsid w:val="00B071F1"/>
    <w:rsid w:val="00B1059D"/>
    <w:rsid w:val="00B10ACE"/>
    <w:rsid w:val="00B10B41"/>
    <w:rsid w:val="00B10EC7"/>
    <w:rsid w:val="00B10FC5"/>
    <w:rsid w:val="00B10FEB"/>
    <w:rsid w:val="00B10FF1"/>
    <w:rsid w:val="00B1163E"/>
    <w:rsid w:val="00B11AF7"/>
    <w:rsid w:val="00B12593"/>
    <w:rsid w:val="00B12A62"/>
    <w:rsid w:val="00B12AF7"/>
    <w:rsid w:val="00B13312"/>
    <w:rsid w:val="00B13492"/>
    <w:rsid w:val="00B138E8"/>
    <w:rsid w:val="00B13A7C"/>
    <w:rsid w:val="00B13C87"/>
    <w:rsid w:val="00B145BE"/>
    <w:rsid w:val="00B146B2"/>
    <w:rsid w:val="00B148A9"/>
    <w:rsid w:val="00B14AE5"/>
    <w:rsid w:val="00B15CC9"/>
    <w:rsid w:val="00B15D0A"/>
    <w:rsid w:val="00B16260"/>
    <w:rsid w:val="00B163F3"/>
    <w:rsid w:val="00B16448"/>
    <w:rsid w:val="00B1721E"/>
    <w:rsid w:val="00B17485"/>
    <w:rsid w:val="00B174A8"/>
    <w:rsid w:val="00B17784"/>
    <w:rsid w:val="00B177FB"/>
    <w:rsid w:val="00B17F71"/>
    <w:rsid w:val="00B2012F"/>
    <w:rsid w:val="00B2074B"/>
    <w:rsid w:val="00B20A52"/>
    <w:rsid w:val="00B20D0B"/>
    <w:rsid w:val="00B215A5"/>
    <w:rsid w:val="00B21709"/>
    <w:rsid w:val="00B21AF3"/>
    <w:rsid w:val="00B21F14"/>
    <w:rsid w:val="00B220D9"/>
    <w:rsid w:val="00B22A42"/>
    <w:rsid w:val="00B22B82"/>
    <w:rsid w:val="00B22C79"/>
    <w:rsid w:val="00B22FBB"/>
    <w:rsid w:val="00B23CA6"/>
    <w:rsid w:val="00B24720"/>
    <w:rsid w:val="00B24DE2"/>
    <w:rsid w:val="00B24E1A"/>
    <w:rsid w:val="00B24EE9"/>
    <w:rsid w:val="00B250E7"/>
    <w:rsid w:val="00B2529F"/>
    <w:rsid w:val="00B25324"/>
    <w:rsid w:val="00B25507"/>
    <w:rsid w:val="00B25883"/>
    <w:rsid w:val="00B2593B"/>
    <w:rsid w:val="00B25C19"/>
    <w:rsid w:val="00B2686F"/>
    <w:rsid w:val="00B26F9C"/>
    <w:rsid w:val="00B27326"/>
    <w:rsid w:val="00B27799"/>
    <w:rsid w:val="00B301EC"/>
    <w:rsid w:val="00B303EA"/>
    <w:rsid w:val="00B306CA"/>
    <w:rsid w:val="00B30A18"/>
    <w:rsid w:val="00B30AB8"/>
    <w:rsid w:val="00B30B56"/>
    <w:rsid w:val="00B30F44"/>
    <w:rsid w:val="00B31380"/>
    <w:rsid w:val="00B31483"/>
    <w:rsid w:val="00B317AE"/>
    <w:rsid w:val="00B31873"/>
    <w:rsid w:val="00B31B0C"/>
    <w:rsid w:val="00B321AB"/>
    <w:rsid w:val="00B3245F"/>
    <w:rsid w:val="00B32D21"/>
    <w:rsid w:val="00B33280"/>
    <w:rsid w:val="00B33EAA"/>
    <w:rsid w:val="00B343DA"/>
    <w:rsid w:val="00B347B0"/>
    <w:rsid w:val="00B34A49"/>
    <w:rsid w:val="00B34B39"/>
    <w:rsid w:val="00B3500C"/>
    <w:rsid w:val="00B35464"/>
    <w:rsid w:val="00B3662D"/>
    <w:rsid w:val="00B36BC0"/>
    <w:rsid w:val="00B36DD6"/>
    <w:rsid w:val="00B36FA1"/>
    <w:rsid w:val="00B375B6"/>
    <w:rsid w:val="00B375BB"/>
    <w:rsid w:val="00B37687"/>
    <w:rsid w:val="00B4019C"/>
    <w:rsid w:val="00B41D8F"/>
    <w:rsid w:val="00B42343"/>
    <w:rsid w:val="00B42DC1"/>
    <w:rsid w:val="00B435B5"/>
    <w:rsid w:val="00B43896"/>
    <w:rsid w:val="00B44D27"/>
    <w:rsid w:val="00B44E16"/>
    <w:rsid w:val="00B4520D"/>
    <w:rsid w:val="00B457BA"/>
    <w:rsid w:val="00B46784"/>
    <w:rsid w:val="00B469EC"/>
    <w:rsid w:val="00B470F6"/>
    <w:rsid w:val="00B47F5D"/>
    <w:rsid w:val="00B51093"/>
    <w:rsid w:val="00B51118"/>
    <w:rsid w:val="00B516D0"/>
    <w:rsid w:val="00B51999"/>
    <w:rsid w:val="00B5208F"/>
    <w:rsid w:val="00B52324"/>
    <w:rsid w:val="00B527B8"/>
    <w:rsid w:val="00B53C16"/>
    <w:rsid w:val="00B53D79"/>
    <w:rsid w:val="00B53E1F"/>
    <w:rsid w:val="00B53E3B"/>
    <w:rsid w:val="00B54B2A"/>
    <w:rsid w:val="00B5521C"/>
    <w:rsid w:val="00B555E9"/>
    <w:rsid w:val="00B55885"/>
    <w:rsid w:val="00B56340"/>
    <w:rsid w:val="00B5747F"/>
    <w:rsid w:val="00B57E99"/>
    <w:rsid w:val="00B6017E"/>
    <w:rsid w:val="00B6097D"/>
    <w:rsid w:val="00B61688"/>
    <w:rsid w:val="00B6174F"/>
    <w:rsid w:val="00B617AD"/>
    <w:rsid w:val="00B618E1"/>
    <w:rsid w:val="00B623BC"/>
    <w:rsid w:val="00B626BC"/>
    <w:rsid w:val="00B62A65"/>
    <w:rsid w:val="00B62E88"/>
    <w:rsid w:val="00B62E9A"/>
    <w:rsid w:val="00B62EA3"/>
    <w:rsid w:val="00B63286"/>
    <w:rsid w:val="00B63A1B"/>
    <w:rsid w:val="00B63EBB"/>
    <w:rsid w:val="00B64318"/>
    <w:rsid w:val="00B6461D"/>
    <w:rsid w:val="00B64AB5"/>
    <w:rsid w:val="00B65746"/>
    <w:rsid w:val="00B65BB4"/>
    <w:rsid w:val="00B668BD"/>
    <w:rsid w:val="00B66CC8"/>
    <w:rsid w:val="00B66DCD"/>
    <w:rsid w:val="00B6728E"/>
    <w:rsid w:val="00B67643"/>
    <w:rsid w:val="00B67CBB"/>
    <w:rsid w:val="00B700CC"/>
    <w:rsid w:val="00B7016A"/>
    <w:rsid w:val="00B705FA"/>
    <w:rsid w:val="00B7068D"/>
    <w:rsid w:val="00B70D6A"/>
    <w:rsid w:val="00B7160E"/>
    <w:rsid w:val="00B71659"/>
    <w:rsid w:val="00B71687"/>
    <w:rsid w:val="00B72274"/>
    <w:rsid w:val="00B723E4"/>
    <w:rsid w:val="00B72485"/>
    <w:rsid w:val="00B73092"/>
    <w:rsid w:val="00B738D0"/>
    <w:rsid w:val="00B73969"/>
    <w:rsid w:val="00B73CED"/>
    <w:rsid w:val="00B73FEC"/>
    <w:rsid w:val="00B74784"/>
    <w:rsid w:val="00B74E1D"/>
    <w:rsid w:val="00B7523C"/>
    <w:rsid w:val="00B75985"/>
    <w:rsid w:val="00B76799"/>
    <w:rsid w:val="00B76D66"/>
    <w:rsid w:val="00B779CD"/>
    <w:rsid w:val="00B77C4C"/>
    <w:rsid w:val="00B80680"/>
    <w:rsid w:val="00B80CBA"/>
    <w:rsid w:val="00B81676"/>
    <w:rsid w:val="00B81AAA"/>
    <w:rsid w:val="00B81E8E"/>
    <w:rsid w:val="00B81F45"/>
    <w:rsid w:val="00B81FE3"/>
    <w:rsid w:val="00B8258C"/>
    <w:rsid w:val="00B84187"/>
    <w:rsid w:val="00B84AA1"/>
    <w:rsid w:val="00B859CC"/>
    <w:rsid w:val="00B85CDF"/>
    <w:rsid w:val="00B864B4"/>
    <w:rsid w:val="00B87BAB"/>
    <w:rsid w:val="00B87F1C"/>
    <w:rsid w:val="00B90901"/>
    <w:rsid w:val="00B90F52"/>
    <w:rsid w:val="00B91AC5"/>
    <w:rsid w:val="00B920F0"/>
    <w:rsid w:val="00B92950"/>
    <w:rsid w:val="00B929E3"/>
    <w:rsid w:val="00B92D4D"/>
    <w:rsid w:val="00B937CB"/>
    <w:rsid w:val="00B93959"/>
    <w:rsid w:val="00B93F22"/>
    <w:rsid w:val="00B94072"/>
    <w:rsid w:val="00B956D9"/>
    <w:rsid w:val="00B95D1D"/>
    <w:rsid w:val="00B9625E"/>
    <w:rsid w:val="00B965F5"/>
    <w:rsid w:val="00B96A17"/>
    <w:rsid w:val="00B96BD0"/>
    <w:rsid w:val="00B96C91"/>
    <w:rsid w:val="00B96D22"/>
    <w:rsid w:val="00B970D0"/>
    <w:rsid w:val="00B973C4"/>
    <w:rsid w:val="00B97935"/>
    <w:rsid w:val="00BA01CE"/>
    <w:rsid w:val="00BA080A"/>
    <w:rsid w:val="00BA0A6D"/>
    <w:rsid w:val="00BA0AA9"/>
    <w:rsid w:val="00BA1E5F"/>
    <w:rsid w:val="00BA2C6D"/>
    <w:rsid w:val="00BA2CB1"/>
    <w:rsid w:val="00BA2E33"/>
    <w:rsid w:val="00BA3CA5"/>
    <w:rsid w:val="00BA3FC7"/>
    <w:rsid w:val="00BA4B4B"/>
    <w:rsid w:val="00BA5762"/>
    <w:rsid w:val="00BA58F3"/>
    <w:rsid w:val="00BA5945"/>
    <w:rsid w:val="00BA59A7"/>
    <w:rsid w:val="00BA5AEB"/>
    <w:rsid w:val="00BA5C54"/>
    <w:rsid w:val="00BA6150"/>
    <w:rsid w:val="00BA6467"/>
    <w:rsid w:val="00BA6703"/>
    <w:rsid w:val="00BA6F90"/>
    <w:rsid w:val="00BA71DF"/>
    <w:rsid w:val="00BA7215"/>
    <w:rsid w:val="00BA7339"/>
    <w:rsid w:val="00BA78FA"/>
    <w:rsid w:val="00BA7EE2"/>
    <w:rsid w:val="00BA7F2C"/>
    <w:rsid w:val="00BB01B6"/>
    <w:rsid w:val="00BB01E0"/>
    <w:rsid w:val="00BB0B45"/>
    <w:rsid w:val="00BB12AC"/>
    <w:rsid w:val="00BB174C"/>
    <w:rsid w:val="00BB1E74"/>
    <w:rsid w:val="00BB1FB9"/>
    <w:rsid w:val="00BB20B3"/>
    <w:rsid w:val="00BB2240"/>
    <w:rsid w:val="00BB260C"/>
    <w:rsid w:val="00BB2C68"/>
    <w:rsid w:val="00BB360A"/>
    <w:rsid w:val="00BB3910"/>
    <w:rsid w:val="00BB3D1E"/>
    <w:rsid w:val="00BB42C3"/>
    <w:rsid w:val="00BB4CEF"/>
    <w:rsid w:val="00BB4D63"/>
    <w:rsid w:val="00BB4E79"/>
    <w:rsid w:val="00BB5301"/>
    <w:rsid w:val="00BB599E"/>
    <w:rsid w:val="00BB5AC4"/>
    <w:rsid w:val="00BB5E18"/>
    <w:rsid w:val="00BB642C"/>
    <w:rsid w:val="00BB75DA"/>
    <w:rsid w:val="00BC0134"/>
    <w:rsid w:val="00BC048F"/>
    <w:rsid w:val="00BC0522"/>
    <w:rsid w:val="00BC1852"/>
    <w:rsid w:val="00BC2AA6"/>
    <w:rsid w:val="00BC2BF8"/>
    <w:rsid w:val="00BC3037"/>
    <w:rsid w:val="00BC3181"/>
    <w:rsid w:val="00BC34D0"/>
    <w:rsid w:val="00BC351D"/>
    <w:rsid w:val="00BC3594"/>
    <w:rsid w:val="00BC3748"/>
    <w:rsid w:val="00BC3DAA"/>
    <w:rsid w:val="00BC40B1"/>
    <w:rsid w:val="00BC45B3"/>
    <w:rsid w:val="00BC480C"/>
    <w:rsid w:val="00BC4C78"/>
    <w:rsid w:val="00BC4CED"/>
    <w:rsid w:val="00BC4D51"/>
    <w:rsid w:val="00BC511B"/>
    <w:rsid w:val="00BC52D6"/>
    <w:rsid w:val="00BC55AC"/>
    <w:rsid w:val="00BC56A1"/>
    <w:rsid w:val="00BC5B16"/>
    <w:rsid w:val="00BC6212"/>
    <w:rsid w:val="00BC6A83"/>
    <w:rsid w:val="00BC6E5D"/>
    <w:rsid w:val="00BC717F"/>
    <w:rsid w:val="00BC788A"/>
    <w:rsid w:val="00BC7CEA"/>
    <w:rsid w:val="00BC7F1E"/>
    <w:rsid w:val="00BD0A4C"/>
    <w:rsid w:val="00BD0C83"/>
    <w:rsid w:val="00BD1553"/>
    <w:rsid w:val="00BD174E"/>
    <w:rsid w:val="00BD1842"/>
    <w:rsid w:val="00BD249E"/>
    <w:rsid w:val="00BD2644"/>
    <w:rsid w:val="00BD26D6"/>
    <w:rsid w:val="00BD3AE9"/>
    <w:rsid w:val="00BD4066"/>
    <w:rsid w:val="00BD481E"/>
    <w:rsid w:val="00BD59EA"/>
    <w:rsid w:val="00BD601A"/>
    <w:rsid w:val="00BD624C"/>
    <w:rsid w:val="00BD6605"/>
    <w:rsid w:val="00BD67D4"/>
    <w:rsid w:val="00BD6EBB"/>
    <w:rsid w:val="00BD7274"/>
    <w:rsid w:val="00BD7785"/>
    <w:rsid w:val="00BD7BE5"/>
    <w:rsid w:val="00BD7E1A"/>
    <w:rsid w:val="00BE0334"/>
    <w:rsid w:val="00BE0347"/>
    <w:rsid w:val="00BE0915"/>
    <w:rsid w:val="00BE0B4E"/>
    <w:rsid w:val="00BE12AA"/>
    <w:rsid w:val="00BE1511"/>
    <w:rsid w:val="00BE1620"/>
    <w:rsid w:val="00BE2A0C"/>
    <w:rsid w:val="00BE2B26"/>
    <w:rsid w:val="00BE3597"/>
    <w:rsid w:val="00BE3A09"/>
    <w:rsid w:val="00BE3A63"/>
    <w:rsid w:val="00BE3DD3"/>
    <w:rsid w:val="00BE429C"/>
    <w:rsid w:val="00BE565A"/>
    <w:rsid w:val="00BE56E4"/>
    <w:rsid w:val="00BE67B5"/>
    <w:rsid w:val="00BE6CE9"/>
    <w:rsid w:val="00BE7083"/>
    <w:rsid w:val="00BE7268"/>
    <w:rsid w:val="00BF01A9"/>
    <w:rsid w:val="00BF068C"/>
    <w:rsid w:val="00BF0807"/>
    <w:rsid w:val="00BF0871"/>
    <w:rsid w:val="00BF0BA7"/>
    <w:rsid w:val="00BF0E12"/>
    <w:rsid w:val="00BF140B"/>
    <w:rsid w:val="00BF1437"/>
    <w:rsid w:val="00BF1C27"/>
    <w:rsid w:val="00BF1C42"/>
    <w:rsid w:val="00BF23D9"/>
    <w:rsid w:val="00BF329B"/>
    <w:rsid w:val="00BF340E"/>
    <w:rsid w:val="00BF35D3"/>
    <w:rsid w:val="00BF40E4"/>
    <w:rsid w:val="00BF4256"/>
    <w:rsid w:val="00BF42D4"/>
    <w:rsid w:val="00BF4E52"/>
    <w:rsid w:val="00BF51B6"/>
    <w:rsid w:val="00BF5357"/>
    <w:rsid w:val="00BF59B1"/>
    <w:rsid w:val="00BF5D1C"/>
    <w:rsid w:val="00BF5F5A"/>
    <w:rsid w:val="00BF64B2"/>
    <w:rsid w:val="00BF6F8D"/>
    <w:rsid w:val="00BF714F"/>
    <w:rsid w:val="00BF75E7"/>
    <w:rsid w:val="00BF7E81"/>
    <w:rsid w:val="00C00989"/>
    <w:rsid w:val="00C00A0D"/>
    <w:rsid w:val="00C01869"/>
    <w:rsid w:val="00C02B85"/>
    <w:rsid w:val="00C02F90"/>
    <w:rsid w:val="00C030A8"/>
    <w:rsid w:val="00C0363B"/>
    <w:rsid w:val="00C036B9"/>
    <w:rsid w:val="00C04623"/>
    <w:rsid w:val="00C04AF6"/>
    <w:rsid w:val="00C05BCB"/>
    <w:rsid w:val="00C05CC7"/>
    <w:rsid w:val="00C06865"/>
    <w:rsid w:val="00C06BB0"/>
    <w:rsid w:val="00C07193"/>
    <w:rsid w:val="00C07351"/>
    <w:rsid w:val="00C10188"/>
    <w:rsid w:val="00C10446"/>
    <w:rsid w:val="00C1044A"/>
    <w:rsid w:val="00C1068B"/>
    <w:rsid w:val="00C1113D"/>
    <w:rsid w:val="00C115FE"/>
    <w:rsid w:val="00C11C72"/>
    <w:rsid w:val="00C11EFE"/>
    <w:rsid w:val="00C122EF"/>
    <w:rsid w:val="00C12665"/>
    <w:rsid w:val="00C13084"/>
    <w:rsid w:val="00C134A6"/>
    <w:rsid w:val="00C13D63"/>
    <w:rsid w:val="00C1565B"/>
    <w:rsid w:val="00C15962"/>
    <w:rsid w:val="00C15A67"/>
    <w:rsid w:val="00C15BB6"/>
    <w:rsid w:val="00C15FDE"/>
    <w:rsid w:val="00C16336"/>
    <w:rsid w:val="00C16512"/>
    <w:rsid w:val="00C16DF1"/>
    <w:rsid w:val="00C17193"/>
    <w:rsid w:val="00C17BB8"/>
    <w:rsid w:val="00C17C35"/>
    <w:rsid w:val="00C20059"/>
    <w:rsid w:val="00C20294"/>
    <w:rsid w:val="00C2075B"/>
    <w:rsid w:val="00C21088"/>
    <w:rsid w:val="00C213AC"/>
    <w:rsid w:val="00C21C50"/>
    <w:rsid w:val="00C2216F"/>
    <w:rsid w:val="00C22301"/>
    <w:rsid w:val="00C22A45"/>
    <w:rsid w:val="00C2325C"/>
    <w:rsid w:val="00C23635"/>
    <w:rsid w:val="00C247A9"/>
    <w:rsid w:val="00C24C45"/>
    <w:rsid w:val="00C24D3E"/>
    <w:rsid w:val="00C24E48"/>
    <w:rsid w:val="00C25415"/>
    <w:rsid w:val="00C2552D"/>
    <w:rsid w:val="00C259D8"/>
    <w:rsid w:val="00C25A26"/>
    <w:rsid w:val="00C26070"/>
    <w:rsid w:val="00C265F4"/>
    <w:rsid w:val="00C268B2"/>
    <w:rsid w:val="00C279ED"/>
    <w:rsid w:val="00C30768"/>
    <w:rsid w:val="00C30C4D"/>
    <w:rsid w:val="00C30EFE"/>
    <w:rsid w:val="00C31361"/>
    <w:rsid w:val="00C316BA"/>
    <w:rsid w:val="00C31841"/>
    <w:rsid w:val="00C3202C"/>
    <w:rsid w:val="00C32372"/>
    <w:rsid w:val="00C32A4D"/>
    <w:rsid w:val="00C32CFB"/>
    <w:rsid w:val="00C33027"/>
    <w:rsid w:val="00C3305E"/>
    <w:rsid w:val="00C330E8"/>
    <w:rsid w:val="00C331DF"/>
    <w:rsid w:val="00C33A7D"/>
    <w:rsid w:val="00C33AC3"/>
    <w:rsid w:val="00C3456C"/>
    <w:rsid w:val="00C3472C"/>
    <w:rsid w:val="00C34EE0"/>
    <w:rsid w:val="00C3505F"/>
    <w:rsid w:val="00C3580F"/>
    <w:rsid w:val="00C35869"/>
    <w:rsid w:val="00C35B11"/>
    <w:rsid w:val="00C35BF3"/>
    <w:rsid w:val="00C3632E"/>
    <w:rsid w:val="00C36363"/>
    <w:rsid w:val="00C3787E"/>
    <w:rsid w:val="00C37B70"/>
    <w:rsid w:val="00C408A7"/>
    <w:rsid w:val="00C4093C"/>
    <w:rsid w:val="00C40A56"/>
    <w:rsid w:val="00C40B90"/>
    <w:rsid w:val="00C40D85"/>
    <w:rsid w:val="00C40EB2"/>
    <w:rsid w:val="00C41A4F"/>
    <w:rsid w:val="00C41CE3"/>
    <w:rsid w:val="00C420AA"/>
    <w:rsid w:val="00C42841"/>
    <w:rsid w:val="00C428BB"/>
    <w:rsid w:val="00C42954"/>
    <w:rsid w:val="00C429A9"/>
    <w:rsid w:val="00C42CD9"/>
    <w:rsid w:val="00C42FF5"/>
    <w:rsid w:val="00C433C6"/>
    <w:rsid w:val="00C43563"/>
    <w:rsid w:val="00C43DED"/>
    <w:rsid w:val="00C43F1E"/>
    <w:rsid w:val="00C4413D"/>
    <w:rsid w:val="00C44B4B"/>
    <w:rsid w:val="00C44BEB"/>
    <w:rsid w:val="00C45351"/>
    <w:rsid w:val="00C45502"/>
    <w:rsid w:val="00C45BF9"/>
    <w:rsid w:val="00C45D88"/>
    <w:rsid w:val="00C45DB5"/>
    <w:rsid w:val="00C4645A"/>
    <w:rsid w:val="00C46554"/>
    <w:rsid w:val="00C46756"/>
    <w:rsid w:val="00C46CDD"/>
    <w:rsid w:val="00C47605"/>
    <w:rsid w:val="00C47A9C"/>
    <w:rsid w:val="00C50C6B"/>
    <w:rsid w:val="00C50F90"/>
    <w:rsid w:val="00C51060"/>
    <w:rsid w:val="00C51D69"/>
    <w:rsid w:val="00C522F4"/>
    <w:rsid w:val="00C525CB"/>
    <w:rsid w:val="00C5398C"/>
    <w:rsid w:val="00C53EDD"/>
    <w:rsid w:val="00C5401D"/>
    <w:rsid w:val="00C541E4"/>
    <w:rsid w:val="00C54C7F"/>
    <w:rsid w:val="00C54DFA"/>
    <w:rsid w:val="00C556A4"/>
    <w:rsid w:val="00C5578F"/>
    <w:rsid w:val="00C55B9D"/>
    <w:rsid w:val="00C55FD3"/>
    <w:rsid w:val="00C5638E"/>
    <w:rsid w:val="00C5663B"/>
    <w:rsid w:val="00C56851"/>
    <w:rsid w:val="00C56DD3"/>
    <w:rsid w:val="00C57003"/>
    <w:rsid w:val="00C57631"/>
    <w:rsid w:val="00C578C8"/>
    <w:rsid w:val="00C57E37"/>
    <w:rsid w:val="00C57FD7"/>
    <w:rsid w:val="00C60D46"/>
    <w:rsid w:val="00C60EEB"/>
    <w:rsid w:val="00C61397"/>
    <w:rsid w:val="00C61536"/>
    <w:rsid w:val="00C617FF"/>
    <w:rsid w:val="00C628D7"/>
    <w:rsid w:val="00C62B0F"/>
    <w:rsid w:val="00C62BBE"/>
    <w:rsid w:val="00C630C7"/>
    <w:rsid w:val="00C633A5"/>
    <w:rsid w:val="00C638D9"/>
    <w:rsid w:val="00C648B8"/>
    <w:rsid w:val="00C64BD8"/>
    <w:rsid w:val="00C65284"/>
    <w:rsid w:val="00C6544F"/>
    <w:rsid w:val="00C657E1"/>
    <w:rsid w:val="00C658C3"/>
    <w:rsid w:val="00C65B47"/>
    <w:rsid w:val="00C65D66"/>
    <w:rsid w:val="00C661FC"/>
    <w:rsid w:val="00C6621B"/>
    <w:rsid w:val="00C66617"/>
    <w:rsid w:val="00C67E7B"/>
    <w:rsid w:val="00C70582"/>
    <w:rsid w:val="00C70CC6"/>
    <w:rsid w:val="00C70E41"/>
    <w:rsid w:val="00C71503"/>
    <w:rsid w:val="00C716D3"/>
    <w:rsid w:val="00C71CDB"/>
    <w:rsid w:val="00C720E7"/>
    <w:rsid w:val="00C72148"/>
    <w:rsid w:val="00C72217"/>
    <w:rsid w:val="00C7285E"/>
    <w:rsid w:val="00C72F59"/>
    <w:rsid w:val="00C7360C"/>
    <w:rsid w:val="00C737C3"/>
    <w:rsid w:val="00C73B6D"/>
    <w:rsid w:val="00C74BBF"/>
    <w:rsid w:val="00C75715"/>
    <w:rsid w:val="00C75A15"/>
    <w:rsid w:val="00C75C4A"/>
    <w:rsid w:val="00C764E3"/>
    <w:rsid w:val="00C774FE"/>
    <w:rsid w:val="00C80162"/>
    <w:rsid w:val="00C8062F"/>
    <w:rsid w:val="00C819A6"/>
    <w:rsid w:val="00C81DE0"/>
    <w:rsid w:val="00C82755"/>
    <w:rsid w:val="00C82A7A"/>
    <w:rsid w:val="00C82D74"/>
    <w:rsid w:val="00C82DFD"/>
    <w:rsid w:val="00C82E08"/>
    <w:rsid w:val="00C82FDA"/>
    <w:rsid w:val="00C837FF"/>
    <w:rsid w:val="00C83AB8"/>
    <w:rsid w:val="00C83AFF"/>
    <w:rsid w:val="00C83DCE"/>
    <w:rsid w:val="00C84790"/>
    <w:rsid w:val="00C84AD2"/>
    <w:rsid w:val="00C84DFF"/>
    <w:rsid w:val="00C85470"/>
    <w:rsid w:val="00C85D66"/>
    <w:rsid w:val="00C86365"/>
    <w:rsid w:val="00C8680A"/>
    <w:rsid w:val="00C86B49"/>
    <w:rsid w:val="00C878EF"/>
    <w:rsid w:val="00C87AEC"/>
    <w:rsid w:val="00C87C18"/>
    <w:rsid w:val="00C87D7F"/>
    <w:rsid w:val="00C9031B"/>
    <w:rsid w:val="00C90861"/>
    <w:rsid w:val="00C92FD8"/>
    <w:rsid w:val="00C931EE"/>
    <w:rsid w:val="00C932C1"/>
    <w:rsid w:val="00C938C6"/>
    <w:rsid w:val="00C9473E"/>
    <w:rsid w:val="00C9486B"/>
    <w:rsid w:val="00C94E81"/>
    <w:rsid w:val="00C9542D"/>
    <w:rsid w:val="00C95803"/>
    <w:rsid w:val="00C965A6"/>
    <w:rsid w:val="00C96EDB"/>
    <w:rsid w:val="00C977AF"/>
    <w:rsid w:val="00C9783B"/>
    <w:rsid w:val="00C97B0E"/>
    <w:rsid w:val="00C97F98"/>
    <w:rsid w:val="00CA0671"/>
    <w:rsid w:val="00CA06D9"/>
    <w:rsid w:val="00CA0B5D"/>
    <w:rsid w:val="00CA18EB"/>
    <w:rsid w:val="00CA1BB6"/>
    <w:rsid w:val="00CA1CA4"/>
    <w:rsid w:val="00CA20F5"/>
    <w:rsid w:val="00CA211C"/>
    <w:rsid w:val="00CA277A"/>
    <w:rsid w:val="00CA2822"/>
    <w:rsid w:val="00CA28EE"/>
    <w:rsid w:val="00CA3679"/>
    <w:rsid w:val="00CA3B3F"/>
    <w:rsid w:val="00CA3DF7"/>
    <w:rsid w:val="00CA3E64"/>
    <w:rsid w:val="00CA4502"/>
    <w:rsid w:val="00CA4AD9"/>
    <w:rsid w:val="00CA4F68"/>
    <w:rsid w:val="00CA51F4"/>
    <w:rsid w:val="00CA537F"/>
    <w:rsid w:val="00CA594C"/>
    <w:rsid w:val="00CA633A"/>
    <w:rsid w:val="00CA68BA"/>
    <w:rsid w:val="00CA766F"/>
    <w:rsid w:val="00CA7A9F"/>
    <w:rsid w:val="00CA7E6C"/>
    <w:rsid w:val="00CB014E"/>
    <w:rsid w:val="00CB079D"/>
    <w:rsid w:val="00CB0A5A"/>
    <w:rsid w:val="00CB103D"/>
    <w:rsid w:val="00CB1B8E"/>
    <w:rsid w:val="00CB1E8F"/>
    <w:rsid w:val="00CB2A1E"/>
    <w:rsid w:val="00CB2BC5"/>
    <w:rsid w:val="00CB3184"/>
    <w:rsid w:val="00CB3A00"/>
    <w:rsid w:val="00CB3AE5"/>
    <w:rsid w:val="00CB4E51"/>
    <w:rsid w:val="00CB5558"/>
    <w:rsid w:val="00CB55A7"/>
    <w:rsid w:val="00CB5A39"/>
    <w:rsid w:val="00CB5BC6"/>
    <w:rsid w:val="00CB6367"/>
    <w:rsid w:val="00CB6D5E"/>
    <w:rsid w:val="00CB79E2"/>
    <w:rsid w:val="00CB7A78"/>
    <w:rsid w:val="00CB7E4C"/>
    <w:rsid w:val="00CB7E9A"/>
    <w:rsid w:val="00CB7F7F"/>
    <w:rsid w:val="00CC00A4"/>
    <w:rsid w:val="00CC02F9"/>
    <w:rsid w:val="00CC07C8"/>
    <w:rsid w:val="00CC09F8"/>
    <w:rsid w:val="00CC11E6"/>
    <w:rsid w:val="00CC1830"/>
    <w:rsid w:val="00CC207D"/>
    <w:rsid w:val="00CC25B8"/>
    <w:rsid w:val="00CC2DF6"/>
    <w:rsid w:val="00CC3C2E"/>
    <w:rsid w:val="00CC4289"/>
    <w:rsid w:val="00CC4C8D"/>
    <w:rsid w:val="00CC56F3"/>
    <w:rsid w:val="00CC632D"/>
    <w:rsid w:val="00CC6F65"/>
    <w:rsid w:val="00CC769B"/>
    <w:rsid w:val="00CC7D69"/>
    <w:rsid w:val="00CD05FE"/>
    <w:rsid w:val="00CD0E24"/>
    <w:rsid w:val="00CD1398"/>
    <w:rsid w:val="00CD1648"/>
    <w:rsid w:val="00CD1A4B"/>
    <w:rsid w:val="00CD1A9C"/>
    <w:rsid w:val="00CD1B2B"/>
    <w:rsid w:val="00CD1D12"/>
    <w:rsid w:val="00CD2BA1"/>
    <w:rsid w:val="00CD2EE1"/>
    <w:rsid w:val="00CD3AE0"/>
    <w:rsid w:val="00CD4F4B"/>
    <w:rsid w:val="00CD57BD"/>
    <w:rsid w:val="00CD584C"/>
    <w:rsid w:val="00CD6034"/>
    <w:rsid w:val="00CD6318"/>
    <w:rsid w:val="00CD641D"/>
    <w:rsid w:val="00CD683F"/>
    <w:rsid w:val="00CD6882"/>
    <w:rsid w:val="00CD6B31"/>
    <w:rsid w:val="00CD710F"/>
    <w:rsid w:val="00CD749E"/>
    <w:rsid w:val="00CD781D"/>
    <w:rsid w:val="00CD7A85"/>
    <w:rsid w:val="00CD7EEF"/>
    <w:rsid w:val="00CE010E"/>
    <w:rsid w:val="00CE0562"/>
    <w:rsid w:val="00CE0652"/>
    <w:rsid w:val="00CE0811"/>
    <w:rsid w:val="00CE098F"/>
    <w:rsid w:val="00CE0AFF"/>
    <w:rsid w:val="00CE0D5B"/>
    <w:rsid w:val="00CE15B7"/>
    <w:rsid w:val="00CE234D"/>
    <w:rsid w:val="00CE23A8"/>
    <w:rsid w:val="00CE4548"/>
    <w:rsid w:val="00CE4A53"/>
    <w:rsid w:val="00CE54AA"/>
    <w:rsid w:val="00CE5539"/>
    <w:rsid w:val="00CE555B"/>
    <w:rsid w:val="00CE5909"/>
    <w:rsid w:val="00CE615C"/>
    <w:rsid w:val="00CE619B"/>
    <w:rsid w:val="00CE64CE"/>
    <w:rsid w:val="00CE7300"/>
    <w:rsid w:val="00CE7F6E"/>
    <w:rsid w:val="00CF0291"/>
    <w:rsid w:val="00CF060F"/>
    <w:rsid w:val="00CF1B81"/>
    <w:rsid w:val="00CF21FD"/>
    <w:rsid w:val="00CF2A5E"/>
    <w:rsid w:val="00CF35F4"/>
    <w:rsid w:val="00CF3986"/>
    <w:rsid w:val="00CF3D99"/>
    <w:rsid w:val="00CF452B"/>
    <w:rsid w:val="00CF46C9"/>
    <w:rsid w:val="00CF4B93"/>
    <w:rsid w:val="00CF4DD8"/>
    <w:rsid w:val="00CF518B"/>
    <w:rsid w:val="00CF53F6"/>
    <w:rsid w:val="00CF6291"/>
    <w:rsid w:val="00CF6BF0"/>
    <w:rsid w:val="00CF6EFA"/>
    <w:rsid w:val="00CF75EB"/>
    <w:rsid w:val="00D01686"/>
    <w:rsid w:val="00D022B6"/>
    <w:rsid w:val="00D025DE"/>
    <w:rsid w:val="00D02606"/>
    <w:rsid w:val="00D0338B"/>
    <w:rsid w:val="00D03E7C"/>
    <w:rsid w:val="00D03FE7"/>
    <w:rsid w:val="00D04853"/>
    <w:rsid w:val="00D049B1"/>
    <w:rsid w:val="00D04DD6"/>
    <w:rsid w:val="00D05234"/>
    <w:rsid w:val="00D05501"/>
    <w:rsid w:val="00D05F27"/>
    <w:rsid w:val="00D0646F"/>
    <w:rsid w:val="00D07078"/>
    <w:rsid w:val="00D076BE"/>
    <w:rsid w:val="00D077D3"/>
    <w:rsid w:val="00D10438"/>
    <w:rsid w:val="00D109EF"/>
    <w:rsid w:val="00D115CA"/>
    <w:rsid w:val="00D11DEC"/>
    <w:rsid w:val="00D1202B"/>
    <w:rsid w:val="00D120D8"/>
    <w:rsid w:val="00D12214"/>
    <w:rsid w:val="00D12347"/>
    <w:rsid w:val="00D127CF"/>
    <w:rsid w:val="00D12C1B"/>
    <w:rsid w:val="00D12D89"/>
    <w:rsid w:val="00D132EE"/>
    <w:rsid w:val="00D133F4"/>
    <w:rsid w:val="00D1350B"/>
    <w:rsid w:val="00D13DA0"/>
    <w:rsid w:val="00D14247"/>
    <w:rsid w:val="00D1430B"/>
    <w:rsid w:val="00D148F8"/>
    <w:rsid w:val="00D1503D"/>
    <w:rsid w:val="00D15199"/>
    <w:rsid w:val="00D152BC"/>
    <w:rsid w:val="00D15530"/>
    <w:rsid w:val="00D1565C"/>
    <w:rsid w:val="00D1591A"/>
    <w:rsid w:val="00D163A8"/>
    <w:rsid w:val="00D16470"/>
    <w:rsid w:val="00D17225"/>
    <w:rsid w:val="00D17A45"/>
    <w:rsid w:val="00D17EC8"/>
    <w:rsid w:val="00D208AC"/>
    <w:rsid w:val="00D20DE7"/>
    <w:rsid w:val="00D21B56"/>
    <w:rsid w:val="00D21B59"/>
    <w:rsid w:val="00D2306D"/>
    <w:rsid w:val="00D235B9"/>
    <w:rsid w:val="00D23612"/>
    <w:rsid w:val="00D24B13"/>
    <w:rsid w:val="00D26046"/>
    <w:rsid w:val="00D269AD"/>
    <w:rsid w:val="00D27D4B"/>
    <w:rsid w:val="00D303B4"/>
    <w:rsid w:val="00D30432"/>
    <w:rsid w:val="00D30AFC"/>
    <w:rsid w:val="00D31CCE"/>
    <w:rsid w:val="00D31DE2"/>
    <w:rsid w:val="00D31F26"/>
    <w:rsid w:val="00D32C6D"/>
    <w:rsid w:val="00D330DD"/>
    <w:rsid w:val="00D3317D"/>
    <w:rsid w:val="00D336E5"/>
    <w:rsid w:val="00D33708"/>
    <w:rsid w:val="00D343F9"/>
    <w:rsid w:val="00D34E1C"/>
    <w:rsid w:val="00D35A0B"/>
    <w:rsid w:val="00D35B59"/>
    <w:rsid w:val="00D3611C"/>
    <w:rsid w:val="00D36D8C"/>
    <w:rsid w:val="00D377F4"/>
    <w:rsid w:val="00D400C4"/>
    <w:rsid w:val="00D401C9"/>
    <w:rsid w:val="00D40674"/>
    <w:rsid w:val="00D40758"/>
    <w:rsid w:val="00D40F6B"/>
    <w:rsid w:val="00D412B4"/>
    <w:rsid w:val="00D41750"/>
    <w:rsid w:val="00D41DBD"/>
    <w:rsid w:val="00D42AFF"/>
    <w:rsid w:val="00D42C3E"/>
    <w:rsid w:val="00D42ED2"/>
    <w:rsid w:val="00D42ED4"/>
    <w:rsid w:val="00D4314D"/>
    <w:rsid w:val="00D432A2"/>
    <w:rsid w:val="00D432B1"/>
    <w:rsid w:val="00D43D96"/>
    <w:rsid w:val="00D44042"/>
    <w:rsid w:val="00D4419D"/>
    <w:rsid w:val="00D44A1E"/>
    <w:rsid w:val="00D44C11"/>
    <w:rsid w:val="00D45882"/>
    <w:rsid w:val="00D45D29"/>
    <w:rsid w:val="00D45EB7"/>
    <w:rsid w:val="00D4682E"/>
    <w:rsid w:val="00D4737B"/>
    <w:rsid w:val="00D47867"/>
    <w:rsid w:val="00D47A5D"/>
    <w:rsid w:val="00D47E00"/>
    <w:rsid w:val="00D47E74"/>
    <w:rsid w:val="00D51144"/>
    <w:rsid w:val="00D51660"/>
    <w:rsid w:val="00D51A42"/>
    <w:rsid w:val="00D51ACD"/>
    <w:rsid w:val="00D52889"/>
    <w:rsid w:val="00D52A54"/>
    <w:rsid w:val="00D52D0D"/>
    <w:rsid w:val="00D53289"/>
    <w:rsid w:val="00D532D3"/>
    <w:rsid w:val="00D53701"/>
    <w:rsid w:val="00D5378D"/>
    <w:rsid w:val="00D53897"/>
    <w:rsid w:val="00D53E18"/>
    <w:rsid w:val="00D5418A"/>
    <w:rsid w:val="00D542E7"/>
    <w:rsid w:val="00D544DE"/>
    <w:rsid w:val="00D547D1"/>
    <w:rsid w:val="00D5490D"/>
    <w:rsid w:val="00D54F87"/>
    <w:rsid w:val="00D55641"/>
    <w:rsid w:val="00D55CAA"/>
    <w:rsid w:val="00D5621E"/>
    <w:rsid w:val="00D568DA"/>
    <w:rsid w:val="00D56A4B"/>
    <w:rsid w:val="00D5737B"/>
    <w:rsid w:val="00D57AB8"/>
    <w:rsid w:val="00D57AFB"/>
    <w:rsid w:val="00D60094"/>
    <w:rsid w:val="00D60658"/>
    <w:rsid w:val="00D6100E"/>
    <w:rsid w:val="00D6161A"/>
    <w:rsid w:val="00D61DB9"/>
    <w:rsid w:val="00D62457"/>
    <w:rsid w:val="00D62A27"/>
    <w:rsid w:val="00D62C61"/>
    <w:rsid w:val="00D6322F"/>
    <w:rsid w:val="00D63782"/>
    <w:rsid w:val="00D63A28"/>
    <w:rsid w:val="00D63C7F"/>
    <w:rsid w:val="00D63CA3"/>
    <w:rsid w:val="00D65B7D"/>
    <w:rsid w:val="00D65F3F"/>
    <w:rsid w:val="00D6616F"/>
    <w:rsid w:val="00D663D3"/>
    <w:rsid w:val="00D66570"/>
    <w:rsid w:val="00D668C5"/>
    <w:rsid w:val="00D6695F"/>
    <w:rsid w:val="00D669B6"/>
    <w:rsid w:val="00D66E90"/>
    <w:rsid w:val="00D67113"/>
    <w:rsid w:val="00D6791D"/>
    <w:rsid w:val="00D709B7"/>
    <w:rsid w:val="00D71777"/>
    <w:rsid w:val="00D72C1E"/>
    <w:rsid w:val="00D72C5C"/>
    <w:rsid w:val="00D734B1"/>
    <w:rsid w:val="00D736EB"/>
    <w:rsid w:val="00D743C8"/>
    <w:rsid w:val="00D74445"/>
    <w:rsid w:val="00D745EA"/>
    <w:rsid w:val="00D747CC"/>
    <w:rsid w:val="00D74839"/>
    <w:rsid w:val="00D751F1"/>
    <w:rsid w:val="00D75515"/>
    <w:rsid w:val="00D76128"/>
    <w:rsid w:val="00D766B1"/>
    <w:rsid w:val="00D76807"/>
    <w:rsid w:val="00D76F25"/>
    <w:rsid w:val="00D76FAF"/>
    <w:rsid w:val="00D7708A"/>
    <w:rsid w:val="00D776A4"/>
    <w:rsid w:val="00D77D94"/>
    <w:rsid w:val="00D801D1"/>
    <w:rsid w:val="00D819BE"/>
    <w:rsid w:val="00D8274B"/>
    <w:rsid w:val="00D82940"/>
    <w:rsid w:val="00D841A8"/>
    <w:rsid w:val="00D84B55"/>
    <w:rsid w:val="00D84CA9"/>
    <w:rsid w:val="00D85077"/>
    <w:rsid w:val="00D8539F"/>
    <w:rsid w:val="00D86100"/>
    <w:rsid w:val="00D8655B"/>
    <w:rsid w:val="00D86650"/>
    <w:rsid w:val="00D8666D"/>
    <w:rsid w:val="00D870B4"/>
    <w:rsid w:val="00D876C8"/>
    <w:rsid w:val="00D87918"/>
    <w:rsid w:val="00D87D87"/>
    <w:rsid w:val="00D90AE2"/>
    <w:rsid w:val="00D90C73"/>
    <w:rsid w:val="00D90F70"/>
    <w:rsid w:val="00D919A4"/>
    <w:rsid w:val="00D91A45"/>
    <w:rsid w:val="00D91F0E"/>
    <w:rsid w:val="00D92DE7"/>
    <w:rsid w:val="00D930AB"/>
    <w:rsid w:val="00D93ECD"/>
    <w:rsid w:val="00D9448A"/>
    <w:rsid w:val="00D94AF1"/>
    <w:rsid w:val="00D96F52"/>
    <w:rsid w:val="00DA039C"/>
    <w:rsid w:val="00DA07FC"/>
    <w:rsid w:val="00DA0B4B"/>
    <w:rsid w:val="00DA16BC"/>
    <w:rsid w:val="00DA17C2"/>
    <w:rsid w:val="00DA23F0"/>
    <w:rsid w:val="00DA2404"/>
    <w:rsid w:val="00DA253B"/>
    <w:rsid w:val="00DA27A9"/>
    <w:rsid w:val="00DA291F"/>
    <w:rsid w:val="00DA366B"/>
    <w:rsid w:val="00DA368A"/>
    <w:rsid w:val="00DA3696"/>
    <w:rsid w:val="00DA39CC"/>
    <w:rsid w:val="00DA3C3F"/>
    <w:rsid w:val="00DA3F3E"/>
    <w:rsid w:val="00DA4343"/>
    <w:rsid w:val="00DA5416"/>
    <w:rsid w:val="00DA5DD0"/>
    <w:rsid w:val="00DA6187"/>
    <w:rsid w:val="00DA66EC"/>
    <w:rsid w:val="00DA731A"/>
    <w:rsid w:val="00DB0F5F"/>
    <w:rsid w:val="00DB1118"/>
    <w:rsid w:val="00DB13AB"/>
    <w:rsid w:val="00DB14A4"/>
    <w:rsid w:val="00DB17B0"/>
    <w:rsid w:val="00DB1AAF"/>
    <w:rsid w:val="00DB1B0D"/>
    <w:rsid w:val="00DB1E6A"/>
    <w:rsid w:val="00DB21F6"/>
    <w:rsid w:val="00DB2583"/>
    <w:rsid w:val="00DB29E7"/>
    <w:rsid w:val="00DB2EE3"/>
    <w:rsid w:val="00DB31A5"/>
    <w:rsid w:val="00DB379B"/>
    <w:rsid w:val="00DB48F4"/>
    <w:rsid w:val="00DB540E"/>
    <w:rsid w:val="00DB5916"/>
    <w:rsid w:val="00DB59F7"/>
    <w:rsid w:val="00DB638A"/>
    <w:rsid w:val="00DB786F"/>
    <w:rsid w:val="00DB7A7E"/>
    <w:rsid w:val="00DB7F75"/>
    <w:rsid w:val="00DC0584"/>
    <w:rsid w:val="00DC06FC"/>
    <w:rsid w:val="00DC07C4"/>
    <w:rsid w:val="00DC081A"/>
    <w:rsid w:val="00DC0AAD"/>
    <w:rsid w:val="00DC0D2C"/>
    <w:rsid w:val="00DC0EF5"/>
    <w:rsid w:val="00DC0F50"/>
    <w:rsid w:val="00DC1689"/>
    <w:rsid w:val="00DC16AF"/>
    <w:rsid w:val="00DC17E8"/>
    <w:rsid w:val="00DC24A1"/>
    <w:rsid w:val="00DC2504"/>
    <w:rsid w:val="00DC2639"/>
    <w:rsid w:val="00DC2A33"/>
    <w:rsid w:val="00DC2DE3"/>
    <w:rsid w:val="00DC304C"/>
    <w:rsid w:val="00DC353D"/>
    <w:rsid w:val="00DC384B"/>
    <w:rsid w:val="00DC3D26"/>
    <w:rsid w:val="00DC4806"/>
    <w:rsid w:val="00DC4A9D"/>
    <w:rsid w:val="00DC4FC2"/>
    <w:rsid w:val="00DC5EE3"/>
    <w:rsid w:val="00DC63F0"/>
    <w:rsid w:val="00DC73F4"/>
    <w:rsid w:val="00DC76C3"/>
    <w:rsid w:val="00DC77D7"/>
    <w:rsid w:val="00DC7B07"/>
    <w:rsid w:val="00DD003C"/>
    <w:rsid w:val="00DD0303"/>
    <w:rsid w:val="00DD0B5A"/>
    <w:rsid w:val="00DD0BBB"/>
    <w:rsid w:val="00DD10CD"/>
    <w:rsid w:val="00DD10EE"/>
    <w:rsid w:val="00DD184E"/>
    <w:rsid w:val="00DD1971"/>
    <w:rsid w:val="00DD1B5B"/>
    <w:rsid w:val="00DD1B68"/>
    <w:rsid w:val="00DD293A"/>
    <w:rsid w:val="00DD3D19"/>
    <w:rsid w:val="00DD3EC9"/>
    <w:rsid w:val="00DD431B"/>
    <w:rsid w:val="00DD4609"/>
    <w:rsid w:val="00DD5D46"/>
    <w:rsid w:val="00DD613D"/>
    <w:rsid w:val="00DD6836"/>
    <w:rsid w:val="00DD7C1C"/>
    <w:rsid w:val="00DD7DE7"/>
    <w:rsid w:val="00DD7F32"/>
    <w:rsid w:val="00DE1A20"/>
    <w:rsid w:val="00DE20F9"/>
    <w:rsid w:val="00DE24A8"/>
    <w:rsid w:val="00DE2EE6"/>
    <w:rsid w:val="00DE3047"/>
    <w:rsid w:val="00DE38FC"/>
    <w:rsid w:val="00DE3D13"/>
    <w:rsid w:val="00DE3F35"/>
    <w:rsid w:val="00DE40F1"/>
    <w:rsid w:val="00DE4378"/>
    <w:rsid w:val="00DE45D2"/>
    <w:rsid w:val="00DE5977"/>
    <w:rsid w:val="00DE5B8E"/>
    <w:rsid w:val="00DE5E9E"/>
    <w:rsid w:val="00DE6001"/>
    <w:rsid w:val="00DE608D"/>
    <w:rsid w:val="00DE6556"/>
    <w:rsid w:val="00DE6824"/>
    <w:rsid w:val="00DE68F1"/>
    <w:rsid w:val="00DE6B66"/>
    <w:rsid w:val="00DE7392"/>
    <w:rsid w:val="00DE76C0"/>
    <w:rsid w:val="00DE778E"/>
    <w:rsid w:val="00DE7B1E"/>
    <w:rsid w:val="00DF0143"/>
    <w:rsid w:val="00DF13C0"/>
    <w:rsid w:val="00DF1495"/>
    <w:rsid w:val="00DF1547"/>
    <w:rsid w:val="00DF1983"/>
    <w:rsid w:val="00DF216F"/>
    <w:rsid w:val="00DF2559"/>
    <w:rsid w:val="00DF26D4"/>
    <w:rsid w:val="00DF279C"/>
    <w:rsid w:val="00DF2886"/>
    <w:rsid w:val="00DF28A9"/>
    <w:rsid w:val="00DF4011"/>
    <w:rsid w:val="00DF5B11"/>
    <w:rsid w:val="00DF5CB6"/>
    <w:rsid w:val="00DF64A2"/>
    <w:rsid w:val="00DF6D81"/>
    <w:rsid w:val="00DF7CB9"/>
    <w:rsid w:val="00DF7DC4"/>
    <w:rsid w:val="00DF7F57"/>
    <w:rsid w:val="00E00261"/>
    <w:rsid w:val="00E015CA"/>
    <w:rsid w:val="00E015E4"/>
    <w:rsid w:val="00E016B9"/>
    <w:rsid w:val="00E01AAD"/>
    <w:rsid w:val="00E01E6F"/>
    <w:rsid w:val="00E01F8C"/>
    <w:rsid w:val="00E02128"/>
    <w:rsid w:val="00E022A9"/>
    <w:rsid w:val="00E02510"/>
    <w:rsid w:val="00E027CB"/>
    <w:rsid w:val="00E03135"/>
    <w:rsid w:val="00E03631"/>
    <w:rsid w:val="00E03C70"/>
    <w:rsid w:val="00E03D95"/>
    <w:rsid w:val="00E03E69"/>
    <w:rsid w:val="00E03ECD"/>
    <w:rsid w:val="00E0414F"/>
    <w:rsid w:val="00E04177"/>
    <w:rsid w:val="00E045FE"/>
    <w:rsid w:val="00E04ACC"/>
    <w:rsid w:val="00E04C16"/>
    <w:rsid w:val="00E05836"/>
    <w:rsid w:val="00E05B1F"/>
    <w:rsid w:val="00E0653C"/>
    <w:rsid w:val="00E0673C"/>
    <w:rsid w:val="00E070E1"/>
    <w:rsid w:val="00E0770A"/>
    <w:rsid w:val="00E07790"/>
    <w:rsid w:val="00E1076D"/>
    <w:rsid w:val="00E10852"/>
    <w:rsid w:val="00E10A69"/>
    <w:rsid w:val="00E1104F"/>
    <w:rsid w:val="00E112A0"/>
    <w:rsid w:val="00E11CD7"/>
    <w:rsid w:val="00E131A0"/>
    <w:rsid w:val="00E13463"/>
    <w:rsid w:val="00E13F2D"/>
    <w:rsid w:val="00E1426A"/>
    <w:rsid w:val="00E14EC3"/>
    <w:rsid w:val="00E152AA"/>
    <w:rsid w:val="00E155E7"/>
    <w:rsid w:val="00E15621"/>
    <w:rsid w:val="00E1607E"/>
    <w:rsid w:val="00E16131"/>
    <w:rsid w:val="00E16347"/>
    <w:rsid w:val="00E16B0B"/>
    <w:rsid w:val="00E17352"/>
    <w:rsid w:val="00E179A0"/>
    <w:rsid w:val="00E211A2"/>
    <w:rsid w:val="00E21623"/>
    <w:rsid w:val="00E2162C"/>
    <w:rsid w:val="00E2215E"/>
    <w:rsid w:val="00E225D4"/>
    <w:rsid w:val="00E22903"/>
    <w:rsid w:val="00E22D8A"/>
    <w:rsid w:val="00E22FF5"/>
    <w:rsid w:val="00E239E4"/>
    <w:rsid w:val="00E23C3F"/>
    <w:rsid w:val="00E242F1"/>
    <w:rsid w:val="00E2489F"/>
    <w:rsid w:val="00E249BE"/>
    <w:rsid w:val="00E255F4"/>
    <w:rsid w:val="00E25D6A"/>
    <w:rsid w:val="00E2609D"/>
    <w:rsid w:val="00E2624C"/>
    <w:rsid w:val="00E266CE"/>
    <w:rsid w:val="00E26EBD"/>
    <w:rsid w:val="00E30F0E"/>
    <w:rsid w:val="00E315B4"/>
    <w:rsid w:val="00E31838"/>
    <w:rsid w:val="00E31FE6"/>
    <w:rsid w:val="00E3283B"/>
    <w:rsid w:val="00E32A79"/>
    <w:rsid w:val="00E32B94"/>
    <w:rsid w:val="00E32C5A"/>
    <w:rsid w:val="00E32F82"/>
    <w:rsid w:val="00E330F3"/>
    <w:rsid w:val="00E331A0"/>
    <w:rsid w:val="00E33890"/>
    <w:rsid w:val="00E33BBC"/>
    <w:rsid w:val="00E33E08"/>
    <w:rsid w:val="00E3425D"/>
    <w:rsid w:val="00E34821"/>
    <w:rsid w:val="00E3556D"/>
    <w:rsid w:val="00E3563F"/>
    <w:rsid w:val="00E35966"/>
    <w:rsid w:val="00E35F6E"/>
    <w:rsid w:val="00E36643"/>
    <w:rsid w:val="00E36898"/>
    <w:rsid w:val="00E37650"/>
    <w:rsid w:val="00E4042F"/>
    <w:rsid w:val="00E40646"/>
    <w:rsid w:val="00E407E4"/>
    <w:rsid w:val="00E40AB4"/>
    <w:rsid w:val="00E414AF"/>
    <w:rsid w:val="00E414BC"/>
    <w:rsid w:val="00E415C2"/>
    <w:rsid w:val="00E41E5B"/>
    <w:rsid w:val="00E42611"/>
    <w:rsid w:val="00E42FF8"/>
    <w:rsid w:val="00E4351B"/>
    <w:rsid w:val="00E439F0"/>
    <w:rsid w:val="00E43A68"/>
    <w:rsid w:val="00E43DF2"/>
    <w:rsid w:val="00E44348"/>
    <w:rsid w:val="00E449E9"/>
    <w:rsid w:val="00E44DC2"/>
    <w:rsid w:val="00E4594A"/>
    <w:rsid w:val="00E45A21"/>
    <w:rsid w:val="00E45E05"/>
    <w:rsid w:val="00E469E9"/>
    <w:rsid w:val="00E46AFF"/>
    <w:rsid w:val="00E50349"/>
    <w:rsid w:val="00E50792"/>
    <w:rsid w:val="00E507F7"/>
    <w:rsid w:val="00E50BD6"/>
    <w:rsid w:val="00E50EC2"/>
    <w:rsid w:val="00E51744"/>
    <w:rsid w:val="00E51804"/>
    <w:rsid w:val="00E51FFE"/>
    <w:rsid w:val="00E5214F"/>
    <w:rsid w:val="00E52174"/>
    <w:rsid w:val="00E521AC"/>
    <w:rsid w:val="00E527A2"/>
    <w:rsid w:val="00E5286C"/>
    <w:rsid w:val="00E52CDD"/>
    <w:rsid w:val="00E52D3B"/>
    <w:rsid w:val="00E52FD2"/>
    <w:rsid w:val="00E531B3"/>
    <w:rsid w:val="00E538AD"/>
    <w:rsid w:val="00E539C2"/>
    <w:rsid w:val="00E53ACE"/>
    <w:rsid w:val="00E546B6"/>
    <w:rsid w:val="00E54892"/>
    <w:rsid w:val="00E54F28"/>
    <w:rsid w:val="00E55110"/>
    <w:rsid w:val="00E551A0"/>
    <w:rsid w:val="00E55759"/>
    <w:rsid w:val="00E55C45"/>
    <w:rsid w:val="00E55E77"/>
    <w:rsid w:val="00E55F7A"/>
    <w:rsid w:val="00E562F0"/>
    <w:rsid w:val="00E563D7"/>
    <w:rsid w:val="00E56480"/>
    <w:rsid w:val="00E56C16"/>
    <w:rsid w:val="00E571C3"/>
    <w:rsid w:val="00E572FB"/>
    <w:rsid w:val="00E5765C"/>
    <w:rsid w:val="00E5767D"/>
    <w:rsid w:val="00E579C1"/>
    <w:rsid w:val="00E579ED"/>
    <w:rsid w:val="00E57D9A"/>
    <w:rsid w:val="00E57EE2"/>
    <w:rsid w:val="00E60514"/>
    <w:rsid w:val="00E60915"/>
    <w:rsid w:val="00E60A2D"/>
    <w:rsid w:val="00E60E87"/>
    <w:rsid w:val="00E61C69"/>
    <w:rsid w:val="00E61D94"/>
    <w:rsid w:val="00E61E06"/>
    <w:rsid w:val="00E62576"/>
    <w:rsid w:val="00E627AA"/>
    <w:rsid w:val="00E62A31"/>
    <w:rsid w:val="00E62FEF"/>
    <w:rsid w:val="00E63353"/>
    <w:rsid w:val="00E63548"/>
    <w:rsid w:val="00E64406"/>
    <w:rsid w:val="00E64B93"/>
    <w:rsid w:val="00E6571D"/>
    <w:rsid w:val="00E6614C"/>
    <w:rsid w:val="00E663E3"/>
    <w:rsid w:val="00E66B67"/>
    <w:rsid w:val="00E66E09"/>
    <w:rsid w:val="00E66E3C"/>
    <w:rsid w:val="00E701D1"/>
    <w:rsid w:val="00E70310"/>
    <w:rsid w:val="00E703A4"/>
    <w:rsid w:val="00E70968"/>
    <w:rsid w:val="00E711F5"/>
    <w:rsid w:val="00E7125A"/>
    <w:rsid w:val="00E71C35"/>
    <w:rsid w:val="00E71C54"/>
    <w:rsid w:val="00E71DA6"/>
    <w:rsid w:val="00E71E55"/>
    <w:rsid w:val="00E736A5"/>
    <w:rsid w:val="00E73C4E"/>
    <w:rsid w:val="00E73CDF"/>
    <w:rsid w:val="00E752BD"/>
    <w:rsid w:val="00E75338"/>
    <w:rsid w:val="00E758FE"/>
    <w:rsid w:val="00E75D19"/>
    <w:rsid w:val="00E75F67"/>
    <w:rsid w:val="00E765F1"/>
    <w:rsid w:val="00E76C0B"/>
    <w:rsid w:val="00E76D99"/>
    <w:rsid w:val="00E76FC8"/>
    <w:rsid w:val="00E7738E"/>
    <w:rsid w:val="00E7756D"/>
    <w:rsid w:val="00E77838"/>
    <w:rsid w:val="00E779ED"/>
    <w:rsid w:val="00E77B7E"/>
    <w:rsid w:val="00E81C17"/>
    <w:rsid w:val="00E81FFE"/>
    <w:rsid w:val="00E820CF"/>
    <w:rsid w:val="00E826C9"/>
    <w:rsid w:val="00E82AF4"/>
    <w:rsid w:val="00E82C37"/>
    <w:rsid w:val="00E830D6"/>
    <w:rsid w:val="00E834C6"/>
    <w:rsid w:val="00E838DB"/>
    <w:rsid w:val="00E83A0E"/>
    <w:rsid w:val="00E83F47"/>
    <w:rsid w:val="00E85093"/>
    <w:rsid w:val="00E8523F"/>
    <w:rsid w:val="00E86059"/>
    <w:rsid w:val="00E860A5"/>
    <w:rsid w:val="00E86923"/>
    <w:rsid w:val="00E86BC7"/>
    <w:rsid w:val="00E87083"/>
    <w:rsid w:val="00E907F7"/>
    <w:rsid w:val="00E9082C"/>
    <w:rsid w:val="00E90CE0"/>
    <w:rsid w:val="00E91FE1"/>
    <w:rsid w:val="00E922A6"/>
    <w:rsid w:val="00E92FE3"/>
    <w:rsid w:val="00E9304D"/>
    <w:rsid w:val="00E93560"/>
    <w:rsid w:val="00E935D2"/>
    <w:rsid w:val="00E9385A"/>
    <w:rsid w:val="00E93EDD"/>
    <w:rsid w:val="00E95200"/>
    <w:rsid w:val="00E954A0"/>
    <w:rsid w:val="00E95AF1"/>
    <w:rsid w:val="00E95AFE"/>
    <w:rsid w:val="00E96CF0"/>
    <w:rsid w:val="00E97211"/>
    <w:rsid w:val="00EA01E8"/>
    <w:rsid w:val="00EA03EE"/>
    <w:rsid w:val="00EA0903"/>
    <w:rsid w:val="00EA138A"/>
    <w:rsid w:val="00EA1EE4"/>
    <w:rsid w:val="00EA2151"/>
    <w:rsid w:val="00EA316A"/>
    <w:rsid w:val="00EA3579"/>
    <w:rsid w:val="00EA3AA2"/>
    <w:rsid w:val="00EA41A0"/>
    <w:rsid w:val="00EA44F3"/>
    <w:rsid w:val="00EA47C0"/>
    <w:rsid w:val="00EA48E0"/>
    <w:rsid w:val="00EA4C3B"/>
    <w:rsid w:val="00EA515C"/>
    <w:rsid w:val="00EA547B"/>
    <w:rsid w:val="00EA5AB1"/>
    <w:rsid w:val="00EA6A0B"/>
    <w:rsid w:val="00EA7639"/>
    <w:rsid w:val="00EA79FC"/>
    <w:rsid w:val="00EA7FFA"/>
    <w:rsid w:val="00EB0A45"/>
    <w:rsid w:val="00EB0D96"/>
    <w:rsid w:val="00EB1656"/>
    <w:rsid w:val="00EB296D"/>
    <w:rsid w:val="00EB311F"/>
    <w:rsid w:val="00EB354E"/>
    <w:rsid w:val="00EB3AA1"/>
    <w:rsid w:val="00EB3FCA"/>
    <w:rsid w:val="00EB40B7"/>
    <w:rsid w:val="00EB4EFD"/>
    <w:rsid w:val="00EB5763"/>
    <w:rsid w:val="00EB58A6"/>
    <w:rsid w:val="00EB58DF"/>
    <w:rsid w:val="00EB5A3B"/>
    <w:rsid w:val="00EB64F5"/>
    <w:rsid w:val="00EB66E2"/>
    <w:rsid w:val="00EB6BE8"/>
    <w:rsid w:val="00EB6BEE"/>
    <w:rsid w:val="00EB7131"/>
    <w:rsid w:val="00EB79A9"/>
    <w:rsid w:val="00EB7A0A"/>
    <w:rsid w:val="00EC027D"/>
    <w:rsid w:val="00EC04F2"/>
    <w:rsid w:val="00EC084C"/>
    <w:rsid w:val="00EC0A64"/>
    <w:rsid w:val="00EC0CD0"/>
    <w:rsid w:val="00EC15C9"/>
    <w:rsid w:val="00EC15F7"/>
    <w:rsid w:val="00EC1921"/>
    <w:rsid w:val="00EC2459"/>
    <w:rsid w:val="00EC25CA"/>
    <w:rsid w:val="00EC2674"/>
    <w:rsid w:val="00EC35AA"/>
    <w:rsid w:val="00EC3660"/>
    <w:rsid w:val="00EC373F"/>
    <w:rsid w:val="00EC3890"/>
    <w:rsid w:val="00EC3BC0"/>
    <w:rsid w:val="00EC3D4B"/>
    <w:rsid w:val="00EC3ED8"/>
    <w:rsid w:val="00EC4411"/>
    <w:rsid w:val="00EC4EA7"/>
    <w:rsid w:val="00EC5402"/>
    <w:rsid w:val="00EC56B1"/>
    <w:rsid w:val="00EC5E41"/>
    <w:rsid w:val="00EC6590"/>
    <w:rsid w:val="00EC6762"/>
    <w:rsid w:val="00EC6A1E"/>
    <w:rsid w:val="00EC7030"/>
    <w:rsid w:val="00EC73E5"/>
    <w:rsid w:val="00EC7D68"/>
    <w:rsid w:val="00ED002B"/>
    <w:rsid w:val="00ED0909"/>
    <w:rsid w:val="00ED10C6"/>
    <w:rsid w:val="00ED12A2"/>
    <w:rsid w:val="00ED14B7"/>
    <w:rsid w:val="00ED1543"/>
    <w:rsid w:val="00ED16A0"/>
    <w:rsid w:val="00ED17EC"/>
    <w:rsid w:val="00ED1A07"/>
    <w:rsid w:val="00ED1AA2"/>
    <w:rsid w:val="00ED2906"/>
    <w:rsid w:val="00ED2C1C"/>
    <w:rsid w:val="00ED2CCB"/>
    <w:rsid w:val="00ED2D47"/>
    <w:rsid w:val="00ED3060"/>
    <w:rsid w:val="00ED3376"/>
    <w:rsid w:val="00ED3726"/>
    <w:rsid w:val="00ED37DC"/>
    <w:rsid w:val="00ED3B6D"/>
    <w:rsid w:val="00ED4079"/>
    <w:rsid w:val="00ED40F4"/>
    <w:rsid w:val="00ED4133"/>
    <w:rsid w:val="00ED4242"/>
    <w:rsid w:val="00ED514C"/>
    <w:rsid w:val="00ED5BBE"/>
    <w:rsid w:val="00ED643B"/>
    <w:rsid w:val="00ED66C6"/>
    <w:rsid w:val="00ED7654"/>
    <w:rsid w:val="00ED7CC8"/>
    <w:rsid w:val="00ED7CD2"/>
    <w:rsid w:val="00ED7CD7"/>
    <w:rsid w:val="00EE03F9"/>
    <w:rsid w:val="00EE0F70"/>
    <w:rsid w:val="00EE0FED"/>
    <w:rsid w:val="00EE1288"/>
    <w:rsid w:val="00EE1A1E"/>
    <w:rsid w:val="00EE1AF5"/>
    <w:rsid w:val="00EE1D20"/>
    <w:rsid w:val="00EE216F"/>
    <w:rsid w:val="00EE2261"/>
    <w:rsid w:val="00EE3153"/>
    <w:rsid w:val="00EE332C"/>
    <w:rsid w:val="00EE3334"/>
    <w:rsid w:val="00EE3987"/>
    <w:rsid w:val="00EE3C33"/>
    <w:rsid w:val="00EE470C"/>
    <w:rsid w:val="00EE4A29"/>
    <w:rsid w:val="00EE4D99"/>
    <w:rsid w:val="00EE5A74"/>
    <w:rsid w:val="00EE679D"/>
    <w:rsid w:val="00EE6C4B"/>
    <w:rsid w:val="00EE73E0"/>
    <w:rsid w:val="00EE73FA"/>
    <w:rsid w:val="00EE7B5F"/>
    <w:rsid w:val="00EF031F"/>
    <w:rsid w:val="00EF03D2"/>
    <w:rsid w:val="00EF0792"/>
    <w:rsid w:val="00EF079C"/>
    <w:rsid w:val="00EF0C20"/>
    <w:rsid w:val="00EF1A31"/>
    <w:rsid w:val="00EF2296"/>
    <w:rsid w:val="00EF248F"/>
    <w:rsid w:val="00EF254B"/>
    <w:rsid w:val="00EF2981"/>
    <w:rsid w:val="00EF315C"/>
    <w:rsid w:val="00EF37D6"/>
    <w:rsid w:val="00EF3B5F"/>
    <w:rsid w:val="00EF42DE"/>
    <w:rsid w:val="00EF47EF"/>
    <w:rsid w:val="00EF4866"/>
    <w:rsid w:val="00EF4EDE"/>
    <w:rsid w:val="00EF4FCE"/>
    <w:rsid w:val="00EF5117"/>
    <w:rsid w:val="00EF568E"/>
    <w:rsid w:val="00EF5F03"/>
    <w:rsid w:val="00EF6132"/>
    <w:rsid w:val="00EF6234"/>
    <w:rsid w:val="00EF62A5"/>
    <w:rsid w:val="00EF7104"/>
    <w:rsid w:val="00EF7C03"/>
    <w:rsid w:val="00F0001B"/>
    <w:rsid w:val="00F0012D"/>
    <w:rsid w:val="00F005DC"/>
    <w:rsid w:val="00F00C2B"/>
    <w:rsid w:val="00F00D8A"/>
    <w:rsid w:val="00F00E6A"/>
    <w:rsid w:val="00F01164"/>
    <w:rsid w:val="00F0231D"/>
    <w:rsid w:val="00F024D6"/>
    <w:rsid w:val="00F0250F"/>
    <w:rsid w:val="00F02EF4"/>
    <w:rsid w:val="00F04584"/>
    <w:rsid w:val="00F05775"/>
    <w:rsid w:val="00F0627C"/>
    <w:rsid w:val="00F06A00"/>
    <w:rsid w:val="00F06EA2"/>
    <w:rsid w:val="00F06FDB"/>
    <w:rsid w:val="00F07F02"/>
    <w:rsid w:val="00F100EC"/>
    <w:rsid w:val="00F107E9"/>
    <w:rsid w:val="00F10AC0"/>
    <w:rsid w:val="00F10F6E"/>
    <w:rsid w:val="00F11059"/>
    <w:rsid w:val="00F120E3"/>
    <w:rsid w:val="00F130CD"/>
    <w:rsid w:val="00F13710"/>
    <w:rsid w:val="00F1407F"/>
    <w:rsid w:val="00F14852"/>
    <w:rsid w:val="00F1526C"/>
    <w:rsid w:val="00F154EA"/>
    <w:rsid w:val="00F1618F"/>
    <w:rsid w:val="00F161A8"/>
    <w:rsid w:val="00F162BE"/>
    <w:rsid w:val="00F16C48"/>
    <w:rsid w:val="00F16D4C"/>
    <w:rsid w:val="00F16FAA"/>
    <w:rsid w:val="00F17DED"/>
    <w:rsid w:val="00F17FC0"/>
    <w:rsid w:val="00F21215"/>
    <w:rsid w:val="00F21269"/>
    <w:rsid w:val="00F21740"/>
    <w:rsid w:val="00F21786"/>
    <w:rsid w:val="00F21B81"/>
    <w:rsid w:val="00F21D1B"/>
    <w:rsid w:val="00F2207B"/>
    <w:rsid w:val="00F22080"/>
    <w:rsid w:val="00F220C8"/>
    <w:rsid w:val="00F220D5"/>
    <w:rsid w:val="00F22D21"/>
    <w:rsid w:val="00F22DB4"/>
    <w:rsid w:val="00F23445"/>
    <w:rsid w:val="00F237DF"/>
    <w:rsid w:val="00F23D26"/>
    <w:rsid w:val="00F23FE2"/>
    <w:rsid w:val="00F2426A"/>
    <w:rsid w:val="00F24346"/>
    <w:rsid w:val="00F247B0"/>
    <w:rsid w:val="00F24C20"/>
    <w:rsid w:val="00F250CE"/>
    <w:rsid w:val="00F25717"/>
    <w:rsid w:val="00F259AA"/>
    <w:rsid w:val="00F25AA0"/>
    <w:rsid w:val="00F25B51"/>
    <w:rsid w:val="00F25C7C"/>
    <w:rsid w:val="00F26285"/>
    <w:rsid w:val="00F2637B"/>
    <w:rsid w:val="00F26A60"/>
    <w:rsid w:val="00F26AC6"/>
    <w:rsid w:val="00F2705E"/>
    <w:rsid w:val="00F27371"/>
    <w:rsid w:val="00F2771C"/>
    <w:rsid w:val="00F27BD8"/>
    <w:rsid w:val="00F30D6D"/>
    <w:rsid w:val="00F31088"/>
    <w:rsid w:val="00F31B4E"/>
    <w:rsid w:val="00F31E4C"/>
    <w:rsid w:val="00F31E9D"/>
    <w:rsid w:val="00F32110"/>
    <w:rsid w:val="00F325F9"/>
    <w:rsid w:val="00F330E4"/>
    <w:rsid w:val="00F3322C"/>
    <w:rsid w:val="00F333CF"/>
    <w:rsid w:val="00F33B2B"/>
    <w:rsid w:val="00F33E6A"/>
    <w:rsid w:val="00F3438C"/>
    <w:rsid w:val="00F346D9"/>
    <w:rsid w:val="00F34B61"/>
    <w:rsid w:val="00F35BB5"/>
    <w:rsid w:val="00F369ED"/>
    <w:rsid w:val="00F36C16"/>
    <w:rsid w:val="00F36FCC"/>
    <w:rsid w:val="00F404F3"/>
    <w:rsid w:val="00F40B9F"/>
    <w:rsid w:val="00F41BFF"/>
    <w:rsid w:val="00F41C1D"/>
    <w:rsid w:val="00F41F57"/>
    <w:rsid w:val="00F42087"/>
    <w:rsid w:val="00F420D7"/>
    <w:rsid w:val="00F425C0"/>
    <w:rsid w:val="00F42D87"/>
    <w:rsid w:val="00F44680"/>
    <w:rsid w:val="00F447CA"/>
    <w:rsid w:val="00F44BB6"/>
    <w:rsid w:val="00F44DD5"/>
    <w:rsid w:val="00F454F0"/>
    <w:rsid w:val="00F4563D"/>
    <w:rsid w:val="00F460DE"/>
    <w:rsid w:val="00F46247"/>
    <w:rsid w:val="00F466EE"/>
    <w:rsid w:val="00F47051"/>
    <w:rsid w:val="00F4710C"/>
    <w:rsid w:val="00F47587"/>
    <w:rsid w:val="00F47BA7"/>
    <w:rsid w:val="00F47C65"/>
    <w:rsid w:val="00F47F84"/>
    <w:rsid w:val="00F47F98"/>
    <w:rsid w:val="00F5046B"/>
    <w:rsid w:val="00F507F4"/>
    <w:rsid w:val="00F5094C"/>
    <w:rsid w:val="00F5094E"/>
    <w:rsid w:val="00F51B0F"/>
    <w:rsid w:val="00F51F34"/>
    <w:rsid w:val="00F5203F"/>
    <w:rsid w:val="00F52987"/>
    <w:rsid w:val="00F52B69"/>
    <w:rsid w:val="00F5539E"/>
    <w:rsid w:val="00F56236"/>
    <w:rsid w:val="00F5638A"/>
    <w:rsid w:val="00F56FDE"/>
    <w:rsid w:val="00F574FF"/>
    <w:rsid w:val="00F5799D"/>
    <w:rsid w:val="00F579BB"/>
    <w:rsid w:val="00F60456"/>
    <w:rsid w:val="00F60950"/>
    <w:rsid w:val="00F60E17"/>
    <w:rsid w:val="00F61EE5"/>
    <w:rsid w:val="00F6227C"/>
    <w:rsid w:val="00F628FE"/>
    <w:rsid w:val="00F63070"/>
    <w:rsid w:val="00F6337A"/>
    <w:rsid w:val="00F63951"/>
    <w:rsid w:val="00F63A1D"/>
    <w:rsid w:val="00F641AE"/>
    <w:rsid w:val="00F646F8"/>
    <w:rsid w:val="00F64834"/>
    <w:rsid w:val="00F64884"/>
    <w:rsid w:val="00F64BCE"/>
    <w:rsid w:val="00F6568A"/>
    <w:rsid w:val="00F65800"/>
    <w:rsid w:val="00F65A13"/>
    <w:rsid w:val="00F65BF2"/>
    <w:rsid w:val="00F66675"/>
    <w:rsid w:val="00F668DB"/>
    <w:rsid w:val="00F669F2"/>
    <w:rsid w:val="00F7012A"/>
    <w:rsid w:val="00F70169"/>
    <w:rsid w:val="00F712F8"/>
    <w:rsid w:val="00F71CAA"/>
    <w:rsid w:val="00F71E6D"/>
    <w:rsid w:val="00F7212C"/>
    <w:rsid w:val="00F72AA4"/>
    <w:rsid w:val="00F73017"/>
    <w:rsid w:val="00F7315D"/>
    <w:rsid w:val="00F7326B"/>
    <w:rsid w:val="00F73339"/>
    <w:rsid w:val="00F73899"/>
    <w:rsid w:val="00F73E7F"/>
    <w:rsid w:val="00F75129"/>
    <w:rsid w:val="00F753E5"/>
    <w:rsid w:val="00F75417"/>
    <w:rsid w:val="00F754B9"/>
    <w:rsid w:val="00F75C76"/>
    <w:rsid w:val="00F75D43"/>
    <w:rsid w:val="00F75F67"/>
    <w:rsid w:val="00F76031"/>
    <w:rsid w:val="00F76458"/>
    <w:rsid w:val="00F77190"/>
    <w:rsid w:val="00F7748A"/>
    <w:rsid w:val="00F77EDC"/>
    <w:rsid w:val="00F77F0E"/>
    <w:rsid w:val="00F8007D"/>
    <w:rsid w:val="00F80757"/>
    <w:rsid w:val="00F8086C"/>
    <w:rsid w:val="00F80918"/>
    <w:rsid w:val="00F80ED1"/>
    <w:rsid w:val="00F815E9"/>
    <w:rsid w:val="00F81628"/>
    <w:rsid w:val="00F81CDA"/>
    <w:rsid w:val="00F81E80"/>
    <w:rsid w:val="00F826B1"/>
    <w:rsid w:val="00F826CA"/>
    <w:rsid w:val="00F82CAC"/>
    <w:rsid w:val="00F8337A"/>
    <w:rsid w:val="00F833E3"/>
    <w:rsid w:val="00F834D3"/>
    <w:rsid w:val="00F8361E"/>
    <w:rsid w:val="00F8376C"/>
    <w:rsid w:val="00F83AD1"/>
    <w:rsid w:val="00F83C21"/>
    <w:rsid w:val="00F8414A"/>
    <w:rsid w:val="00F84294"/>
    <w:rsid w:val="00F844E5"/>
    <w:rsid w:val="00F84505"/>
    <w:rsid w:val="00F84697"/>
    <w:rsid w:val="00F85B43"/>
    <w:rsid w:val="00F85C81"/>
    <w:rsid w:val="00F85D44"/>
    <w:rsid w:val="00F85D5B"/>
    <w:rsid w:val="00F85FCB"/>
    <w:rsid w:val="00F860A7"/>
    <w:rsid w:val="00F8619E"/>
    <w:rsid w:val="00F86DDD"/>
    <w:rsid w:val="00F871D4"/>
    <w:rsid w:val="00F8775E"/>
    <w:rsid w:val="00F87A87"/>
    <w:rsid w:val="00F87B40"/>
    <w:rsid w:val="00F90015"/>
    <w:rsid w:val="00F90ABE"/>
    <w:rsid w:val="00F90C61"/>
    <w:rsid w:val="00F9174A"/>
    <w:rsid w:val="00F91DA6"/>
    <w:rsid w:val="00F92779"/>
    <w:rsid w:val="00F92A55"/>
    <w:rsid w:val="00F92D62"/>
    <w:rsid w:val="00F92FE8"/>
    <w:rsid w:val="00F930D4"/>
    <w:rsid w:val="00F931EA"/>
    <w:rsid w:val="00F93312"/>
    <w:rsid w:val="00F9340C"/>
    <w:rsid w:val="00F94E33"/>
    <w:rsid w:val="00F95291"/>
    <w:rsid w:val="00F953A8"/>
    <w:rsid w:val="00F953CD"/>
    <w:rsid w:val="00F956D0"/>
    <w:rsid w:val="00F95C62"/>
    <w:rsid w:val="00F95E33"/>
    <w:rsid w:val="00F96180"/>
    <w:rsid w:val="00F96350"/>
    <w:rsid w:val="00F9647B"/>
    <w:rsid w:val="00F96502"/>
    <w:rsid w:val="00F968B5"/>
    <w:rsid w:val="00F96F82"/>
    <w:rsid w:val="00F97587"/>
    <w:rsid w:val="00F979C4"/>
    <w:rsid w:val="00F97D93"/>
    <w:rsid w:val="00F97EAE"/>
    <w:rsid w:val="00FA05F1"/>
    <w:rsid w:val="00FA095F"/>
    <w:rsid w:val="00FA0A8B"/>
    <w:rsid w:val="00FA0DE9"/>
    <w:rsid w:val="00FA1A21"/>
    <w:rsid w:val="00FA26A9"/>
    <w:rsid w:val="00FA27A0"/>
    <w:rsid w:val="00FA2A98"/>
    <w:rsid w:val="00FA2B42"/>
    <w:rsid w:val="00FA2F34"/>
    <w:rsid w:val="00FA34A3"/>
    <w:rsid w:val="00FA3835"/>
    <w:rsid w:val="00FA5487"/>
    <w:rsid w:val="00FA59D4"/>
    <w:rsid w:val="00FA604C"/>
    <w:rsid w:val="00FA63DA"/>
    <w:rsid w:val="00FA672D"/>
    <w:rsid w:val="00FA6AB9"/>
    <w:rsid w:val="00FA6C29"/>
    <w:rsid w:val="00FA7305"/>
    <w:rsid w:val="00FA76B8"/>
    <w:rsid w:val="00FA7C32"/>
    <w:rsid w:val="00FA7DC9"/>
    <w:rsid w:val="00FB007D"/>
    <w:rsid w:val="00FB0FA2"/>
    <w:rsid w:val="00FB1505"/>
    <w:rsid w:val="00FB2315"/>
    <w:rsid w:val="00FB2AFC"/>
    <w:rsid w:val="00FB2C93"/>
    <w:rsid w:val="00FB4A42"/>
    <w:rsid w:val="00FB4DB5"/>
    <w:rsid w:val="00FB4FB0"/>
    <w:rsid w:val="00FB52EE"/>
    <w:rsid w:val="00FB530D"/>
    <w:rsid w:val="00FB5AAD"/>
    <w:rsid w:val="00FB64DD"/>
    <w:rsid w:val="00FB65E4"/>
    <w:rsid w:val="00FB66D5"/>
    <w:rsid w:val="00FB6B4C"/>
    <w:rsid w:val="00FB6DD6"/>
    <w:rsid w:val="00FB7709"/>
    <w:rsid w:val="00FB7AC5"/>
    <w:rsid w:val="00FB7ED8"/>
    <w:rsid w:val="00FB7EF0"/>
    <w:rsid w:val="00FC027C"/>
    <w:rsid w:val="00FC0287"/>
    <w:rsid w:val="00FC06C4"/>
    <w:rsid w:val="00FC0EE5"/>
    <w:rsid w:val="00FC1713"/>
    <w:rsid w:val="00FC1D96"/>
    <w:rsid w:val="00FC1DA7"/>
    <w:rsid w:val="00FC2134"/>
    <w:rsid w:val="00FC2415"/>
    <w:rsid w:val="00FC29C9"/>
    <w:rsid w:val="00FC3291"/>
    <w:rsid w:val="00FC3947"/>
    <w:rsid w:val="00FC3E60"/>
    <w:rsid w:val="00FC445E"/>
    <w:rsid w:val="00FC47A6"/>
    <w:rsid w:val="00FC48DD"/>
    <w:rsid w:val="00FC4A69"/>
    <w:rsid w:val="00FC4C6E"/>
    <w:rsid w:val="00FC4E13"/>
    <w:rsid w:val="00FC4EF3"/>
    <w:rsid w:val="00FC503A"/>
    <w:rsid w:val="00FC64A3"/>
    <w:rsid w:val="00FC7952"/>
    <w:rsid w:val="00FD03B7"/>
    <w:rsid w:val="00FD0616"/>
    <w:rsid w:val="00FD08EE"/>
    <w:rsid w:val="00FD0AED"/>
    <w:rsid w:val="00FD10BE"/>
    <w:rsid w:val="00FD1109"/>
    <w:rsid w:val="00FD1EEC"/>
    <w:rsid w:val="00FD2646"/>
    <w:rsid w:val="00FD26CB"/>
    <w:rsid w:val="00FD2D96"/>
    <w:rsid w:val="00FD31EE"/>
    <w:rsid w:val="00FD3316"/>
    <w:rsid w:val="00FD3714"/>
    <w:rsid w:val="00FD3D54"/>
    <w:rsid w:val="00FD4101"/>
    <w:rsid w:val="00FD47E9"/>
    <w:rsid w:val="00FD5096"/>
    <w:rsid w:val="00FD5131"/>
    <w:rsid w:val="00FD5273"/>
    <w:rsid w:val="00FD545F"/>
    <w:rsid w:val="00FD5DEB"/>
    <w:rsid w:val="00FD6294"/>
    <w:rsid w:val="00FD65CA"/>
    <w:rsid w:val="00FD68B1"/>
    <w:rsid w:val="00FD6C74"/>
    <w:rsid w:val="00FD6FEE"/>
    <w:rsid w:val="00FD7CFD"/>
    <w:rsid w:val="00FD7D99"/>
    <w:rsid w:val="00FE010E"/>
    <w:rsid w:val="00FE06F6"/>
    <w:rsid w:val="00FE0919"/>
    <w:rsid w:val="00FE0BA0"/>
    <w:rsid w:val="00FE26D5"/>
    <w:rsid w:val="00FE2A3C"/>
    <w:rsid w:val="00FE32E9"/>
    <w:rsid w:val="00FE4248"/>
    <w:rsid w:val="00FE4DD3"/>
    <w:rsid w:val="00FE512D"/>
    <w:rsid w:val="00FE53EC"/>
    <w:rsid w:val="00FE53FD"/>
    <w:rsid w:val="00FE5C7D"/>
    <w:rsid w:val="00FE5FCC"/>
    <w:rsid w:val="00FE65DE"/>
    <w:rsid w:val="00FE6CB7"/>
    <w:rsid w:val="00FE6EA8"/>
    <w:rsid w:val="00FE726B"/>
    <w:rsid w:val="00FE7815"/>
    <w:rsid w:val="00FE7ABA"/>
    <w:rsid w:val="00FE7ABF"/>
    <w:rsid w:val="00FF043C"/>
    <w:rsid w:val="00FF0EE3"/>
    <w:rsid w:val="00FF0F58"/>
    <w:rsid w:val="00FF17FF"/>
    <w:rsid w:val="00FF1B35"/>
    <w:rsid w:val="00FF1F5F"/>
    <w:rsid w:val="00FF2C52"/>
    <w:rsid w:val="00FF32D2"/>
    <w:rsid w:val="00FF4411"/>
    <w:rsid w:val="00FF44A5"/>
    <w:rsid w:val="00FF4522"/>
    <w:rsid w:val="00FF4590"/>
    <w:rsid w:val="00FF5460"/>
    <w:rsid w:val="00FF5522"/>
    <w:rsid w:val="00FF624B"/>
    <w:rsid w:val="00FF6493"/>
    <w:rsid w:val="00FF6BB3"/>
    <w:rsid w:val="00FF6C09"/>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rules v:ext="edit">
        <o:r id="V:Rule6" type="connector" idref="#Straight Arrow Connector 11"/>
        <o:r id="V:Rule7" type="connector" idref="#Straight Arrow Connector 5"/>
        <o:r id="V:Rule8" type="connector" idref="#Straight Arrow Connector 10"/>
        <o:r id="V:Rule9" type="connector" idref="#Straight Arrow Connector 1"/>
        <o:r id="V:Rule10" type="connector" idref="#Straight Arrow Connector 9"/>
        <o:r id="V:Rule12" type="connector" idref="#_x0000_s1058"/>
      </o:rules>
    </o:shapelayout>
  </w:shapeDefaults>
  <w:decimalSymbol w:val="."/>
  <w:listSeparator w:val=","/>
  <w14:docId w14:val="2B971889"/>
  <w15:docId w15:val="{FCA45CE0-7604-489E-A671-62D18388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7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E1B"/>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B859C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5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CC"/>
  </w:style>
  <w:style w:type="paragraph" w:styleId="Footer">
    <w:name w:val="footer"/>
    <w:basedOn w:val="Normal"/>
    <w:link w:val="FooterChar"/>
    <w:uiPriority w:val="99"/>
    <w:unhideWhenUsed/>
    <w:rsid w:val="00B85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CC"/>
  </w:style>
  <w:style w:type="table" w:styleId="TableGrid">
    <w:name w:val="Table Grid"/>
    <w:basedOn w:val="TableNormal"/>
    <w:uiPriority w:val="39"/>
    <w:rsid w:val="00B8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59CC"/>
    <w:rPr>
      <w:color w:val="808080"/>
    </w:rPr>
  </w:style>
  <w:style w:type="character" w:styleId="Hyperlink">
    <w:name w:val="Hyperlink"/>
    <w:basedOn w:val="DefaultParagraphFont"/>
    <w:uiPriority w:val="99"/>
    <w:unhideWhenUsed/>
    <w:rsid w:val="00B859CC"/>
    <w:rPr>
      <w:color w:val="0000FF"/>
      <w:u w:val="single"/>
    </w:rPr>
  </w:style>
  <w:style w:type="paragraph" w:styleId="NormalWeb">
    <w:name w:val="Normal (Web)"/>
    <w:basedOn w:val="Normal"/>
    <w:uiPriority w:val="99"/>
    <w:unhideWhenUsed/>
    <w:rsid w:val="00B859CC"/>
    <w:pPr>
      <w:spacing w:before="100" w:beforeAutospacing="1" w:after="100" w:afterAutospacing="1" w:line="240" w:lineRule="auto"/>
    </w:pPr>
    <w:rPr>
      <w:rFonts w:ascii="Times New Roman" w:eastAsia="Times New Roman" w:hAnsi="Times New Roman" w:cs="Times New Roman"/>
      <w:szCs w:val="24"/>
    </w:rPr>
  </w:style>
  <w:style w:type="character" w:customStyle="1" w:styleId="hvr">
    <w:name w:val="hvr"/>
    <w:basedOn w:val="DefaultParagraphFont"/>
    <w:rsid w:val="00B859CC"/>
  </w:style>
  <w:style w:type="paragraph" w:customStyle="1" w:styleId="comp">
    <w:name w:val="comp"/>
    <w:basedOn w:val="Normal"/>
    <w:rsid w:val="00B859CC"/>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B859CC"/>
    <w:rPr>
      <w:color w:val="605E5C"/>
      <w:shd w:val="clear" w:color="auto" w:fill="E1DFDD"/>
    </w:rPr>
  </w:style>
  <w:style w:type="paragraph" w:styleId="BalloonText">
    <w:name w:val="Balloon Text"/>
    <w:basedOn w:val="Normal"/>
    <w:link w:val="BalloonTextChar"/>
    <w:uiPriority w:val="99"/>
    <w:semiHidden/>
    <w:unhideWhenUsed/>
    <w:rsid w:val="00B85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9CC"/>
    <w:rPr>
      <w:rFonts w:ascii="Segoe UI" w:hAnsi="Segoe UI" w:cs="Segoe UI"/>
      <w:sz w:val="18"/>
      <w:szCs w:val="18"/>
    </w:rPr>
  </w:style>
  <w:style w:type="character" w:styleId="Strong">
    <w:name w:val="Strong"/>
    <w:basedOn w:val="DefaultParagraphFont"/>
    <w:uiPriority w:val="22"/>
    <w:qFormat/>
    <w:rsid w:val="00B859CC"/>
    <w:rPr>
      <w:b/>
      <w:bCs/>
    </w:rPr>
  </w:style>
  <w:style w:type="paragraph" w:customStyle="1" w:styleId="paranormaltext">
    <w:name w:val="paranormaltext"/>
    <w:basedOn w:val="Normal"/>
    <w:rsid w:val="00B859CC"/>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B859CC"/>
    <w:rPr>
      <w:i/>
      <w:iCs/>
    </w:rPr>
  </w:style>
  <w:style w:type="character" w:customStyle="1" w:styleId="Heading2Char">
    <w:name w:val="Heading 2 Char"/>
    <w:basedOn w:val="DefaultParagraphFont"/>
    <w:link w:val="Heading2"/>
    <w:uiPriority w:val="9"/>
    <w:semiHidden/>
    <w:rsid w:val="00B277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10438">
      <w:bodyDiv w:val="1"/>
      <w:marLeft w:val="0"/>
      <w:marRight w:val="0"/>
      <w:marTop w:val="0"/>
      <w:marBottom w:val="0"/>
      <w:divBdr>
        <w:top w:val="none" w:sz="0" w:space="0" w:color="auto"/>
        <w:left w:val="none" w:sz="0" w:space="0" w:color="auto"/>
        <w:bottom w:val="none" w:sz="0" w:space="0" w:color="auto"/>
        <w:right w:val="none" w:sz="0" w:space="0" w:color="auto"/>
      </w:divBdr>
      <w:divsChild>
        <w:div w:id="803932255">
          <w:marLeft w:val="0"/>
          <w:marRight w:val="0"/>
          <w:marTop w:val="0"/>
          <w:marBottom w:val="0"/>
          <w:divBdr>
            <w:top w:val="none" w:sz="0" w:space="0" w:color="auto"/>
            <w:left w:val="none" w:sz="0" w:space="0" w:color="auto"/>
            <w:bottom w:val="none" w:sz="0" w:space="0" w:color="auto"/>
            <w:right w:val="none" w:sz="0" w:space="0" w:color="auto"/>
          </w:divBdr>
        </w:div>
        <w:div w:id="1895775357">
          <w:marLeft w:val="0"/>
          <w:marRight w:val="0"/>
          <w:marTop w:val="0"/>
          <w:marBottom w:val="0"/>
          <w:divBdr>
            <w:top w:val="none" w:sz="0" w:space="0" w:color="auto"/>
            <w:left w:val="none" w:sz="0" w:space="0" w:color="auto"/>
            <w:bottom w:val="none" w:sz="0" w:space="0" w:color="auto"/>
            <w:right w:val="none" w:sz="0" w:space="0" w:color="auto"/>
          </w:divBdr>
        </w:div>
      </w:divsChild>
    </w:div>
    <w:div w:id="827869600">
      <w:bodyDiv w:val="1"/>
      <w:marLeft w:val="0"/>
      <w:marRight w:val="0"/>
      <w:marTop w:val="0"/>
      <w:marBottom w:val="0"/>
      <w:divBdr>
        <w:top w:val="none" w:sz="0" w:space="0" w:color="auto"/>
        <w:left w:val="none" w:sz="0" w:space="0" w:color="auto"/>
        <w:bottom w:val="none" w:sz="0" w:space="0" w:color="auto"/>
        <w:right w:val="none" w:sz="0" w:space="0" w:color="auto"/>
      </w:divBdr>
    </w:div>
    <w:div w:id="1361274337">
      <w:bodyDiv w:val="1"/>
      <w:marLeft w:val="0"/>
      <w:marRight w:val="0"/>
      <w:marTop w:val="0"/>
      <w:marBottom w:val="0"/>
      <w:divBdr>
        <w:top w:val="none" w:sz="0" w:space="0" w:color="auto"/>
        <w:left w:val="none" w:sz="0" w:space="0" w:color="auto"/>
        <w:bottom w:val="none" w:sz="0" w:space="0" w:color="auto"/>
        <w:right w:val="none" w:sz="0" w:space="0" w:color="auto"/>
      </w:divBdr>
    </w:div>
    <w:div w:id="1936671226">
      <w:bodyDiv w:val="1"/>
      <w:marLeft w:val="0"/>
      <w:marRight w:val="0"/>
      <w:marTop w:val="0"/>
      <w:marBottom w:val="0"/>
      <w:divBdr>
        <w:top w:val="none" w:sz="0" w:space="0" w:color="auto"/>
        <w:left w:val="none" w:sz="0" w:space="0" w:color="auto"/>
        <w:bottom w:val="none" w:sz="0" w:space="0" w:color="auto"/>
        <w:right w:val="none" w:sz="0" w:space="0" w:color="auto"/>
      </w:divBdr>
      <w:divsChild>
        <w:div w:id="796142922">
          <w:marLeft w:val="0"/>
          <w:marRight w:val="0"/>
          <w:marTop w:val="0"/>
          <w:marBottom w:val="0"/>
          <w:divBdr>
            <w:top w:val="none" w:sz="0" w:space="0" w:color="auto"/>
            <w:left w:val="none" w:sz="0" w:space="0" w:color="auto"/>
            <w:bottom w:val="none" w:sz="0" w:space="0" w:color="auto"/>
            <w:right w:val="none" w:sz="0" w:space="0" w:color="auto"/>
          </w:divBdr>
          <w:divsChild>
            <w:div w:id="2143423977">
              <w:marLeft w:val="0"/>
              <w:marRight w:val="0"/>
              <w:marTop w:val="75"/>
              <w:marBottom w:val="0"/>
              <w:divBdr>
                <w:top w:val="single" w:sz="6" w:space="0" w:color="BBBBBB"/>
                <w:left w:val="single" w:sz="6" w:space="0" w:color="BBBBBB"/>
                <w:bottom w:val="single" w:sz="6" w:space="0" w:color="BBBBBB"/>
                <w:right w:val="single" w:sz="6" w:space="0" w:color="BBBBBB"/>
              </w:divBdr>
            </w:div>
          </w:divsChild>
        </w:div>
      </w:divsChild>
    </w:div>
    <w:div w:id="198457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Canola" TargetMode="External"/><Relationship Id="rId3" Type="http://schemas.openxmlformats.org/officeDocument/2006/relationships/settings" Target="settings.xml"/><Relationship Id="rId7" Type="http://schemas.openxmlformats.org/officeDocument/2006/relationships/hyperlink" Target="https://www.investopedia.com/terms/f/foreign-exchange.asp" TargetMode="External"/><Relationship Id="rId12" Type="http://schemas.openxmlformats.org/officeDocument/2006/relationships/hyperlink" Target="https://en.wikipedia.org/wiki/Barle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uru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Wheat" TargetMode="External"/><Relationship Id="rId4" Type="http://schemas.openxmlformats.org/officeDocument/2006/relationships/webSettings" Target="webSettings.xml"/><Relationship Id="rId9" Type="http://schemas.openxmlformats.org/officeDocument/2006/relationships/hyperlink" Target="https://en.wikipedia.org/wiki/Option_(fin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15049</Words>
  <Characters>78120</Characters>
  <Application>Microsoft Office Word</Application>
  <DocSecurity>0</DocSecurity>
  <Lines>1966</Lines>
  <Paragraphs>839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2023-08-24T20:05:00Z</cp:lastPrinted>
  <dcterms:created xsi:type="dcterms:W3CDTF">2025-07-05T18:00:00Z</dcterms:created>
  <dcterms:modified xsi:type="dcterms:W3CDTF">2025-07-05T18:00:00Z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a42bed3bd65b37092ad4da610d2f68ed2c805157bd9704121f9b0b0a7b9cddb1</vt:lpwstr>
  </property>
</Properties>
</file>