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5C13" w14:textId="609DFBCC" w:rsidR="0060577E" w:rsidRPr="0060577E" w:rsidRDefault="004C2ED9" w:rsidP="0060577E">
      <w:pPr>
        <w:widowControl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4E80B503" wp14:editId="487D2128">
            <wp:extent cx="4305300" cy="1222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7707" cy="1222814"/>
                    </a:xfrm>
                    <a:prstGeom prst="rect">
                      <a:avLst/>
                    </a:prstGeom>
                    <a:noFill/>
                  </pic:spPr>
                </pic:pic>
              </a:graphicData>
            </a:graphic>
          </wp:inline>
        </w:drawing>
      </w:r>
    </w:p>
    <w:tbl>
      <w:tblPr>
        <w:tblW w:w="0" w:type="auto"/>
        <w:jc w:val="center"/>
        <w:tblLayout w:type="fixed"/>
        <w:tblCellMar>
          <w:left w:w="0" w:type="dxa"/>
          <w:right w:w="0" w:type="dxa"/>
        </w:tblCellMar>
        <w:tblLook w:val="04A0" w:firstRow="1" w:lastRow="0" w:firstColumn="1" w:lastColumn="0" w:noHBand="0" w:noVBand="1"/>
      </w:tblPr>
      <w:tblGrid>
        <w:gridCol w:w="6120"/>
      </w:tblGrid>
      <w:tr w:rsidR="0060577E" w:rsidRPr="003B4D4A" w14:paraId="065A443C" w14:textId="77777777" w:rsidTr="007E4F70">
        <w:trPr>
          <w:cantSplit/>
          <w:trHeight w:val="927"/>
          <w:jc w:val="center"/>
        </w:trPr>
        <w:tc>
          <w:tcPr>
            <w:tcW w:w="6120" w:type="dxa"/>
          </w:tcPr>
          <w:p w14:paraId="07EF3962" w14:textId="77777777" w:rsidR="0060577E" w:rsidRPr="00CA282C" w:rsidRDefault="0060577E" w:rsidP="0060577E">
            <w:pPr>
              <w:widowControl w:val="0"/>
              <w:pBdr>
                <w:bottom w:val="single" w:sz="12" w:space="1" w:color="000000"/>
              </w:pBdr>
              <w:tabs>
                <w:tab w:val="left" w:pos="473"/>
                <w:tab w:val="center" w:pos="3060"/>
              </w:tabs>
              <w:autoSpaceDE w:val="0"/>
              <w:autoSpaceDN w:val="0"/>
              <w:adjustRightInd w:val="0"/>
              <w:spacing w:after="0" w:line="240" w:lineRule="auto"/>
              <w:rPr>
                <w:rFonts w:eastAsia="Times New Roman" w:cs="Times New Roman"/>
                <w:b/>
                <w:bCs/>
                <w:color w:val="000000"/>
                <w:sz w:val="36"/>
                <w:szCs w:val="36"/>
              </w:rPr>
            </w:pPr>
            <w:r w:rsidRPr="003B4D4A">
              <w:rPr>
                <w:rFonts w:eastAsia="Times New Roman" w:cs="Times New Roman"/>
                <w:b/>
                <w:bCs/>
                <w:color w:val="000000"/>
                <w:sz w:val="28"/>
                <w:szCs w:val="28"/>
              </w:rPr>
              <w:tab/>
            </w:r>
            <w:r w:rsidRPr="003B4D4A">
              <w:rPr>
                <w:rFonts w:eastAsia="Times New Roman" w:cs="Times New Roman"/>
                <w:b/>
                <w:bCs/>
                <w:color w:val="000000"/>
                <w:sz w:val="28"/>
                <w:szCs w:val="28"/>
              </w:rPr>
              <w:tab/>
            </w:r>
            <w:r w:rsidRPr="00CA282C">
              <w:rPr>
                <w:rFonts w:eastAsia="Times New Roman" w:cs="Times New Roman"/>
                <w:b/>
                <w:bCs/>
                <w:color w:val="000000"/>
                <w:sz w:val="36"/>
                <w:szCs w:val="36"/>
              </w:rPr>
              <w:t>Course Outline</w:t>
            </w:r>
          </w:p>
          <w:p w14:paraId="7F7912D4" w14:textId="6504204D" w:rsidR="00950DBE" w:rsidRDefault="00B55D86" w:rsidP="00293DCF">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Department of Accounting</w:t>
            </w:r>
            <w:r w:rsidR="005737EB">
              <w:rPr>
                <w:rFonts w:eastAsia="Times New Roman" w:cs="Times New Roman"/>
                <w:b/>
                <w:sz w:val="28"/>
                <w:szCs w:val="28"/>
              </w:rPr>
              <w:t xml:space="preserve">, </w:t>
            </w:r>
            <w:r>
              <w:rPr>
                <w:rFonts w:eastAsia="Times New Roman" w:cs="Times New Roman"/>
                <w:b/>
                <w:sz w:val="28"/>
                <w:szCs w:val="28"/>
              </w:rPr>
              <w:t>Finance</w:t>
            </w:r>
            <w:r w:rsidR="005737EB">
              <w:rPr>
                <w:rFonts w:eastAsia="Times New Roman" w:cs="Times New Roman"/>
                <w:b/>
                <w:sz w:val="28"/>
                <w:szCs w:val="28"/>
              </w:rPr>
              <w:t>, and Law</w:t>
            </w:r>
          </w:p>
          <w:p w14:paraId="62D451FD" w14:textId="321E3C71" w:rsidR="0060577E" w:rsidRPr="00950DBE" w:rsidRDefault="00FA391B" w:rsidP="00950DBE">
            <w:pPr>
              <w:widowControl w:val="0"/>
              <w:autoSpaceDE w:val="0"/>
              <w:autoSpaceDN w:val="0"/>
              <w:adjustRightInd w:val="0"/>
              <w:spacing w:after="0" w:line="240" w:lineRule="auto"/>
              <w:jc w:val="center"/>
              <w:rPr>
                <w:rFonts w:eastAsia="Times New Roman" w:cs="Times New Roman"/>
                <w:b/>
                <w:sz w:val="28"/>
                <w:szCs w:val="28"/>
              </w:rPr>
            </w:pPr>
            <w:r>
              <w:rPr>
                <w:rFonts w:eastAsia="Times New Roman" w:cs="Times New Roman"/>
                <w:b/>
                <w:sz w:val="28"/>
                <w:szCs w:val="28"/>
              </w:rPr>
              <w:t xml:space="preserve">Bob Gaglardi </w:t>
            </w:r>
            <w:r w:rsidR="00B55D86">
              <w:rPr>
                <w:rFonts w:eastAsia="Times New Roman" w:cs="Times New Roman"/>
                <w:b/>
                <w:sz w:val="28"/>
                <w:szCs w:val="28"/>
              </w:rPr>
              <w:t>School of Business and Economics</w:t>
            </w:r>
          </w:p>
        </w:tc>
      </w:tr>
    </w:tbl>
    <w:p w14:paraId="4FF865CC" w14:textId="77777777" w:rsidR="0060577E" w:rsidRPr="00EC6E89" w:rsidRDefault="0060577E" w:rsidP="00177252">
      <w:pPr>
        <w:widowControl w:val="0"/>
        <w:autoSpaceDE w:val="0"/>
        <w:autoSpaceDN w:val="0"/>
        <w:adjustRightInd w:val="0"/>
        <w:spacing w:after="0" w:line="240" w:lineRule="auto"/>
        <w:rPr>
          <w:rFonts w:eastAsia="Times New Roman" w:cs="Times New Roman"/>
          <w:color w:val="000000"/>
          <w:sz w:val="16"/>
          <w:szCs w:val="16"/>
        </w:rPr>
      </w:pPr>
    </w:p>
    <w:p w14:paraId="07661F33" w14:textId="75BA28E1" w:rsidR="0060577E" w:rsidRPr="003B4D4A" w:rsidRDefault="00196E9D" w:rsidP="0060577E">
      <w:pPr>
        <w:widowControl w:val="0"/>
        <w:autoSpaceDE w:val="0"/>
        <w:autoSpaceDN w:val="0"/>
        <w:adjustRightInd w:val="0"/>
        <w:spacing w:after="0" w:line="240" w:lineRule="auto"/>
        <w:jc w:val="center"/>
        <w:rPr>
          <w:rFonts w:eastAsia="Times New Roman" w:cs="Times New Roman"/>
          <w:b/>
          <w:bCs/>
          <w:color w:val="000000"/>
          <w:sz w:val="28"/>
          <w:szCs w:val="28"/>
        </w:rPr>
      </w:pPr>
      <w:r w:rsidRPr="003B4D4A">
        <w:rPr>
          <w:rFonts w:eastAsia="Times New Roman" w:cs="Times New Roman"/>
          <w:b/>
          <w:bCs/>
          <w:color w:val="000000"/>
          <w:sz w:val="28"/>
          <w:szCs w:val="28"/>
        </w:rPr>
        <w:t xml:space="preserve"> </w:t>
      </w:r>
      <w:r w:rsidR="00F741DD">
        <w:rPr>
          <w:rFonts w:eastAsia="Times New Roman" w:cs="Times New Roman"/>
          <w:b/>
          <w:bCs/>
          <w:color w:val="000000"/>
          <w:sz w:val="28"/>
          <w:szCs w:val="28"/>
        </w:rPr>
        <w:t>FNCE 41</w:t>
      </w:r>
      <w:r w:rsidR="0024790A">
        <w:rPr>
          <w:rFonts w:eastAsia="Times New Roman" w:cs="Times New Roman"/>
          <w:b/>
          <w:bCs/>
          <w:color w:val="000000"/>
          <w:sz w:val="28"/>
          <w:szCs w:val="28"/>
        </w:rPr>
        <w:t>3</w:t>
      </w:r>
      <w:r w:rsidR="00F73A57">
        <w:rPr>
          <w:rFonts w:eastAsia="Times New Roman" w:cs="Times New Roman"/>
          <w:b/>
          <w:bCs/>
          <w:color w:val="000000"/>
          <w:sz w:val="28"/>
          <w:szCs w:val="28"/>
        </w:rPr>
        <w:t>0</w:t>
      </w:r>
      <w:r w:rsidR="00846714">
        <w:rPr>
          <w:rFonts w:eastAsia="Times New Roman" w:cs="Times New Roman"/>
          <w:b/>
          <w:bCs/>
          <w:color w:val="000000"/>
          <w:sz w:val="28"/>
          <w:szCs w:val="28"/>
        </w:rPr>
        <w:t>-0</w:t>
      </w:r>
      <w:r w:rsidR="0079207A">
        <w:rPr>
          <w:rFonts w:eastAsia="Times New Roman" w:cs="Times New Roman"/>
          <w:b/>
          <w:bCs/>
          <w:color w:val="000000"/>
          <w:sz w:val="28"/>
          <w:szCs w:val="28"/>
        </w:rPr>
        <w:t>1</w:t>
      </w:r>
      <w:r w:rsidR="00B55D86">
        <w:rPr>
          <w:rFonts w:eastAsia="Times New Roman" w:cs="Times New Roman"/>
          <w:b/>
          <w:bCs/>
          <w:color w:val="000000"/>
          <w:sz w:val="28"/>
          <w:szCs w:val="28"/>
        </w:rPr>
        <w:t xml:space="preserve"> (3,0,0)</w:t>
      </w:r>
      <w:r w:rsidR="0060577E" w:rsidRPr="003B4D4A">
        <w:rPr>
          <w:rFonts w:eastAsia="Times New Roman" w:cs="Times New Roman"/>
          <w:b/>
          <w:bCs/>
          <w:color w:val="000000"/>
          <w:sz w:val="28"/>
          <w:szCs w:val="28"/>
        </w:rPr>
        <w:t xml:space="preserve"> </w:t>
      </w:r>
    </w:p>
    <w:p w14:paraId="73C7A411" w14:textId="60E250C8" w:rsidR="0060577E" w:rsidRPr="003B4D4A" w:rsidRDefault="00F741DD" w:rsidP="0060577E">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 xml:space="preserve">Advanced </w:t>
      </w:r>
      <w:r w:rsidR="00B55D86">
        <w:rPr>
          <w:rFonts w:eastAsia="Times New Roman" w:cs="Times New Roman"/>
          <w:b/>
          <w:bCs/>
          <w:color w:val="000000"/>
          <w:sz w:val="28"/>
          <w:szCs w:val="28"/>
        </w:rPr>
        <w:t>Financial Management</w:t>
      </w:r>
    </w:p>
    <w:p w14:paraId="4CEE1763" w14:textId="11292677" w:rsidR="000F08BB" w:rsidRPr="003B4D4A" w:rsidRDefault="0024790A" w:rsidP="0060577E">
      <w:pPr>
        <w:widowControl w:val="0"/>
        <w:autoSpaceDE w:val="0"/>
        <w:autoSpaceDN w:val="0"/>
        <w:adjustRightInd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Fall</w:t>
      </w:r>
      <w:r w:rsidR="00D244FC">
        <w:rPr>
          <w:rFonts w:eastAsia="Times New Roman" w:cs="Times New Roman"/>
          <w:b/>
          <w:bCs/>
          <w:color w:val="000000"/>
          <w:sz w:val="28"/>
          <w:szCs w:val="28"/>
        </w:rPr>
        <w:t>, 202</w:t>
      </w:r>
      <w:r w:rsidR="00B82290">
        <w:rPr>
          <w:rFonts w:eastAsia="Times New Roman" w:cs="Times New Roman"/>
          <w:b/>
          <w:bCs/>
          <w:color w:val="000000"/>
          <w:sz w:val="28"/>
          <w:szCs w:val="28"/>
        </w:rPr>
        <w:t>5</w:t>
      </w:r>
    </w:p>
    <w:p w14:paraId="65040A81" w14:textId="77777777" w:rsidR="000F08BB" w:rsidRPr="00EC6E89" w:rsidRDefault="000F08BB" w:rsidP="00BA38CA">
      <w:pPr>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3060"/>
      </w:tblGrid>
      <w:tr w:rsidR="009A765F" w:rsidRPr="003B4D4A" w14:paraId="7A4B20CF" w14:textId="77777777" w:rsidTr="007F5FE0">
        <w:tc>
          <w:tcPr>
            <w:tcW w:w="7290" w:type="dxa"/>
          </w:tcPr>
          <w:p w14:paraId="6713D306" w14:textId="4E9CE923" w:rsidR="009A765F" w:rsidRPr="003B4D4A" w:rsidRDefault="009A765F" w:rsidP="00BA38CA">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Instructor:</w:t>
            </w:r>
            <w:r>
              <w:rPr>
                <w:rFonts w:asciiTheme="minorHAnsi" w:eastAsia="Times New Roman" w:hAnsiTheme="minorHAnsi" w:cs="Times New Roman"/>
                <w:bCs w:val="0"/>
                <w:sz w:val="28"/>
                <w:szCs w:val="28"/>
                <w:u w:val="none"/>
              </w:rPr>
              <w:t xml:space="preserve"> </w:t>
            </w:r>
          </w:p>
        </w:tc>
        <w:tc>
          <w:tcPr>
            <w:tcW w:w="3060" w:type="dxa"/>
          </w:tcPr>
          <w:p w14:paraId="7E93770D" w14:textId="650AC331" w:rsidR="009A765F" w:rsidRPr="009A765F" w:rsidRDefault="009A765F" w:rsidP="009A765F">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Phone:</w:t>
            </w:r>
            <w:r>
              <w:rPr>
                <w:rFonts w:asciiTheme="minorHAnsi" w:eastAsia="Times New Roman" w:hAnsiTheme="minorHAnsi" w:cs="Times New Roman"/>
                <w:bCs w:val="0"/>
                <w:sz w:val="28"/>
                <w:szCs w:val="28"/>
                <w:u w:val="none"/>
              </w:rPr>
              <w:t xml:space="preserve"> </w:t>
            </w:r>
          </w:p>
        </w:tc>
      </w:tr>
      <w:tr w:rsidR="009A765F" w:rsidRPr="003B4D4A" w14:paraId="2AB5559E" w14:textId="77777777" w:rsidTr="00F301D1">
        <w:tc>
          <w:tcPr>
            <w:tcW w:w="7290" w:type="dxa"/>
          </w:tcPr>
          <w:p w14:paraId="2F36A567" w14:textId="3D2E1F05" w:rsidR="009A765F" w:rsidRPr="003B4D4A" w:rsidRDefault="009A765F" w:rsidP="00BA38CA">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Office:</w:t>
            </w:r>
            <w:r>
              <w:rPr>
                <w:rFonts w:asciiTheme="minorHAnsi" w:eastAsia="Times New Roman" w:hAnsiTheme="minorHAnsi" w:cs="Times New Roman"/>
                <w:bCs w:val="0"/>
                <w:sz w:val="28"/>
                <w:szCs w:val="28"/>
                <w:u w:val="none"/>
              </w:rPr>
              <w:t xml:space="preserve"> </w:t>
            </w:r>
          </w:p>
        </w:tc>
        <w:tc>
          <w:tcPr>
            <w:tcW w:w="3060" w:type="dxa"/>
          </w:tcPr>
          <w:p w14:paraId="5E74322A" w14:textId="5A8ABC2B" w:rsidR="009A765F" w:rsidRPr="009A765F" w:rsidRDefault="009A765F" w:rsidP="009A765F">
            <w:pPr>
              <w:widowControl w:val="0"/>
              <w:autoSpaceDE w:val="0"/>
              <w:autoSpaceDN w:val="0"/>
              <w:adjustRightInd w:val="0"/>
              <w:rPr>
                <w:rFonts w:asciiTheme="minorHAnsi" w:eastAsia="Times New Roman" w:hAnsiTheme="minorHAnsi" w:cs="Times New Roman"/>
                <w:bCs w:val="0"/>
                <w:sz w:val="28"/>
                <w:szCs w:val="28"/>
                <w:u w:val="none"/>
              </w:rPr>
            </w:pPr>
            <w:r w:rsidRPr="003B4D4A">
              <w:rPr>
                <w:rFonts w:asciiTheme="minorHAnsi" w:eastAsia="Times New Roman" w:hAnsiTheme="minorHAnsi" w:cs="Times New Roman"/>
                <w:bCs w:val="0"/>
                <w:sz w:val="28"/>
                <w:szCs w:val="28"/>
                <w:u w:val="none"/>
              </w:rPr>
              <w:t>E-mail:</w:t>
            </w:r>
            <w:r>
              <w:rPr>
                <w:rFonts w:asciiTheme="minorHAnsi" w:eastAsia="Times New Roman" w:hAnsiTheme="minorHAnsi" w:cs="Times New Roman"/>
                <w:bCs w:val="0"/>
                <w:sz w:val="28"/>
                <w:szCs w:val="28"/>
                <w:u w:val="none"/>
              </w:rPr>
              <w:t xml:space="preserve"> </w:t>
            </w:r>
          </w:p>
        </w:tc>
      </w:tr>
      <w:tr w:rsidR="00BA38CA" w:rsidRPr="003B4D4A" w14:paraId="342A18FE" w14:textId="77777777" w:rsidTr="00497036">
        <w:trPr>
          <w:trHeight w:val="108"/>
        </w:trPr>
        <w:tc>
          <w:tcPr>
            <w:tcW w:w="10350" w:type="dxa"/>
            <w:gridSpan w:val="2"/>
          </w:tcPr>
          <w:p w14:paraId="09A25882" w14:textId="4438B571" w:rsidR="00BA38CA" w:rsidRPr="003B4D4A" w:rsidRDefault="00BA38CA" w:rsidP="00795200">
            <w:pPr>
              <w:widowControl w:val="0"/>
              <w:autoSpaceDE w:val="0"/>
              <w:autoSpaceDN w:val="0"/>
              <w:adjustRightInd w:val="0"/>
              <w:ind w:left="1606" w:hanging="1606"/>
              <w:rPr>
                <w:rFonts w:asciiTheme="minorHAnsi" w:eastAsia="Times New Roman" w:hAnsiTheme="minorHAnsi" w:cs="Times New Roman"/>
                <w:bCs w:val="0"/>
                <w:sz w:val="28"/>
                <w:szCs w:val="28"/>
              </w:rPr>
            </w:pPr>
            <w:r w:rsidRPr="003B4D4A">
              <w:rPr>
                <w:rFonts w:asciiTheme="minorHAnsi" w:eastAsia="Times New Roman" w:hAnsiTheme="minorHAnsi" w:cs="Times New Roman"/>
                <w:bCs w:val="0"/>
                <w:sz w:val="28"/>
                <w:szCs w:val="28"/>
                <w:u w:val="none"/>
              </w:rPr>
              <w:t>Office Hours:</w:t>
            </w:r>
            <w:r w:rsidR="003C3A4C">
              <w:rPr>
                <w:rFonts w:asciiTheme="minorHAnsi" w:eastAsia="Times New Roman" w:hAnsiTheme="minorHAnsi" w:cs="Times New Roman"/>
                <w:bCs w:val="0"/>
                <w:sz w:val="28"/>
                <w:szCs w:val="28"/>
                <w:u w:val="none"/>
              </w:rPr>
              <w:t xml:space="preserve"> </w:t>
            </w:r>
            <w:r w:rsidR="00432D34">
              <w:rPr>
                <w:rFonts w:asciiTheme="minorHAnsi" w:eastAsia="Times New Roman" w:hAnsiTheme="minorHAnsi" w:cs="Times New Roman"/>
                <w:bCs w:val="0"/>
                <w:sz w:val="28"/>
                <w:szCs w:val="28"/>
                <w:u w:val="none"/>
              </w:rPr>
              <w:t xml:space="preserve"> </w:t>
            </w:r>
          </w:p>
        </w:tc>
      </w:tr>
    </w:tbl>
    <w:p w14:paraId="7C6DA58B" w14:textId="77777777" w:rsidR="00EC6E89" w:rsidRPr="00EC6E89" w:rsidRDefault="00EC6E89" w:rsidP="00950DBE">
      <w:pPr>
        <w:keepLines/>
        <w:widowControl w:val="0"/>
        <w:autoSpaceDE w:val="0"/>
        <w:autoSpaceDN w:val="0"/>
        <w:adjustRightInd w:val="0"/>
        <w:spacing w:after="0" w:line="240" w:lineRule="auto"/>
        <w:rPr>
          <w:rFonts w:eastAsia="Times New Roman" w:cs="Times New Roman"/>
          <w:b/>
          <w:bCs/>
          <w:sz w:val="16"/>
          <w:szCs w:val="16"/>
        </w:rPr>
      </w:pPr>
    </w:p>
    <w:p w14:paraId="79762235" w14:textId="7BEE34D4" w:rsidR="0060577E" w:rsidRDefault="00221DE5" w:rsidP="00950DBE">
      <w:pPr>
        <w:keepLines/>
        <w:widowControl w:val="0"/>
        <w:autoSpaceDE w:val="0"/>
        <w:autoSpaceDN w:val="0"/>
        <w:adjustRightInd w:val="0"/>
        <w:spacing w:after="0" w:line="240" w:lineRule="auto"/>
        <w:rPr>
          <w:rFonts w:eastAsia="Times New Roman" w:cs="Times New Roman"/>
          <w:b/>
          <w:bCs/>
          <w:sz w:val="28"/>
          <w:szCs w:val="28"/>
        </w:rPr>
      </w:pPr>
      <w:r w:rsidRPr="003B4D4A">
        <w:rPr>
          <w:rFonts w:eastAsia="Times New Roman" w:cs="Times New Roman"/>
          <w:b/>
          <w:bCs/>
          <w:sz w:val="28"/>
          <w:szCs w:val="28"/>
        </w:rPr>
        <w:t>Calendar Description</w:t>
      </w:r>
    </w:p>
    <w:p w14:paraId="440B4802" w14:textId="77777777" w:rsidR="00950DBE" w:rsidRPr="00EC6E89" w:rsidRDefault="00950DBE" w:rsidP="00950DBE">
      <w:pPr>
        <w:keepLines/>
        <w:widowControl w:val="0"/>
        <w:autoSpaceDE w:val="0"/>
        <w:autoSpaceDN w:val="0"/>
        <w:adjustRightInd w:val="0"/>
        <w:spacing w:after="0" w:line="240" w:lineRule="auto"/>
        <w:rPr>
          <w:rFonts w:eastAsia="Times New Roman" w:cs="Times New Roman"/>
          <w:b/>
          <w:bCs/>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14"/>
      </w:tblGrid>
      <w:tr w:rsidR="0060577E" w:rsidRPr="003B4D4A" w14:paraId="5E0F05A3" w14:textId="77777777" w:rsidTr="00CA5076">
        <w:tc>
          <w:tcPr>
            <w:tcW w:w="10440" w:type="dxa"/>
            <w:tcMar>
              <w:top w:w="115" w:type="dxa"/>
              <w:left w:w="115" w:type="dxa"/>
              <w:bottom w:w="115" w:type="dxa"/>
              <w:right w:w="115" w:type="dxa"/>
            </w:tcMar>
          </w:tcPr>
          <w:p w14:paraId="7FD65F32" w14:textId="078D5777" w:rsidR="0024790A" w:rsidRPr="009735B2" w:rsidRDefault="0024790A" w:rsidP="00617583">
            <w:pPr>
              <w:outlineLvl w:val="0"/>
              <w:rPr>
                <w:rFonts w:asciiTheme="minorHAnsi" w:hAnsiTheme="minorHAnsi" w:cstheme="minorHAnsi"/>
                <w:b w:val="0"/>
                <w:sz w:val="24"/>
                <w:szCs w:val="24"/>
                <w:u w:val="none"/>
              </w:rPr>
            </w:pPr>
            <w:r w:rsidRPr="002A4BFE">
              <w:rPr>
                <w:rFonts w:asciiTheme="minorHAnsi" w:hAnsiTheme="minorHAnsi" w:cstheme="minorHAnsi"/>
                <w:b w:val="0"/>
                <w:sz w:val="24"/>
                <w:szCs w:val="24"/>
                <w:u w:val="none"/>
              </w:rPr>
              <w:t>Building on FNCE 2120: Financial Management, students further develop their knowledge and skills in business</w:t>
            </w:r>
            <w:r>
              <w:rPr>
                <w:rFonts w:asciiTheme="minorHAnsi" w:hAnsiTheme="minorHAnsi" w:cstheme="minorHAnsi"/>
                <w:b w:val="0"/>
                <w:sz w:val="24"/>
                <w:szCs w:val="24"/>
                <w:u w:val="none"/>
              </w:rPr>
              <w:t xml:space="preserve"> </w:t>
            </w:r>
            <w:r w:rsidRPr="002A4BFE">
              <w:rPr>
                <w:rFonts w:asciiTheme="minorHAnsi" w:hAnsiTheme="minorHAnsi" w:cstheme="minorHAnsi"/>
                <w:b w:val="0"/>
                <w:sz w:val="24"/>
                <w:szCs w:val="24"/>
                <w:u w:val="none"/>
              </w:rPr>
              <w:t>finance. Topics include corporate governance and executive</w:t>
            </w:r>
            <w:r>
              <w:rPr>
                <w:rFonts w:asciiTheme="minorHAnsi" w:hAnsiTheme="minorHAnsi" w:cstheme="minorHAnsi"/>
                <w:b w:val="0"/>
                <w:sz w:val="24"/>
                <w:szCs w:val="24"/>
                <w:u w:val="none"/>
              </w:rPr>
              <w:t xml:space="preserve"> </w:t>
            </w:r>
            <w:r w:rsidRPr="002A4BFE">
              <w:rPr>
                <w:rFonts w:asciiTheme="minorHAnsi" w:hAnsiTheme="minorHAnsi" w:cstheme="minorHAnsi"/>
                <w:b w:val="0"/>
                <w:sz w:val="24"/>
                <w:szCs w:val="24"/>
                <w:u w:val="none"/>
              </w:rPr>
              <w:t>compensation; dividends and dividend policy;</w:t>
            </w:r>
            <w:r>
              <w:rPr>
                <w:rFonts w:asciiTheme="minorHAnsi" w:hAnsiTheme="minorHAnsi" w:cstheme="minorHAnsi"/>
                <w:b w:val="0"/>
                <w:sz w:val="24"/>
                <w:szCs w:val="24"/>
                <w:u w:val="none"/>
              </w:rPr>
              <w:t xml:space="preserve"> </w:t>
            </w:r>
            <w:r w:rsidRPr="002A4BFE">
              <w:rPr>
                <w:rFonts w:asciiTheme="minorHAnsi" w:hAnsiTheme="minorHAnsi" w:cstheme="minorHAnsi"/>
                <w:b w:val="0"/>
                <w:sz w:val="24"/>
                <w:szCs w:val="24"/>
                <w:u w:val="none"/>
              </w:rPr>
              <w:t>matching the maturities of assets and liabilities; short-term and long-term financial planning; sustainable growth;</w:t>
            </w:r>
            <w:r>
              <w:rPr>
                <w:rFonts w:asciiTheme="minorHAnsi" w:hAnsiTheme="minorHAnsi" w:cstheme="minorHAnsi"/>
                <w:b w:val="0"/>
                <w:sz w:val="24"/>
                <w:szCs w:val="24"/>
                <w:u w:val="none"/>
              </w:rPr>
              <w:t xml:space="preserve"> </w:t>
            </w:r>
            <w:r w:rsidRPr="002A4BFE">
              <w:rPr>
                <w:rFonts w:asciiTheme="minorHAnsi" w:hAnsiTheme="minorHAnsi" w:cstheme="minorHAnsi"/>
                <w:b w:val="0"/>
                <w:sz w:val="24"/>
                <w:szCs w:val="24"/>
                <w:u w:val="none"/>
              </w:rPr>
              <w:t>working capital management and sources of temporary financing; permanent financing</w:t>
            </w:r>
            <w:r w:rsidR="009C2C12">
              <w:rPr>
                <w:rFonts w:asciiTheme="minorHAnsi" w:hAnsiTheme="minorHAnsi" w:cstheme="minorHAnsi"/>
                <w:b w:val="0"/>
                <w:sz w:val="24"/>
                <w:szCs w:val="24"/>
                <w:u w:val="none"/>
              </w:rPr>
              <w:t xml:space="preserve"> sources</w:t>
            </w:r>
            <w:r w:rsidRPr="002A4BFE">
              <w:rPr>
                <w:rFonts w:asciiTheme="minorHAnsi" w:hAnsiTheme="minorHAnsi" w:cstheme="minorHAnsi"/>
                <w:b w:val="0"/>
                <w:sz w:val="24"/>
                <w:szCs w:val="24"/>
                <w:u w:val="none"/>
              </w:rPr>
              <w:t>; capital</w:t>
            </w:r>
            <w:r>
              <w:rPr>
                <w:rFonts w:asciiTheme="minorHAnsi" w:hAnsiTheme="minorHAnsi" w:cstheme="minorHAnsi"/>
                <w:b w:val="0"/>
                <w:sz w:val="24"/>
                <w:szCs w:val="24"/>
                <w:u w:val="none"/>
              </w:rPr>
              <w:t xml:space="preserve"> </w:t>
            </w:r>
            <w:r w:rsidRPr="002A4BFE">
              <w:rPr>
                <w:rFonts w:asciiTheme="minorHAnsi" w:hAnsiTheme="minorHAnsi" w:cstheme="minorHAnsi"/>
                <w:b w:val="0"/>
                <w:sz w:val="24"/>
                <w:szCs w:val="24"/>
                <w:u w:val="none"/>
              </w:rPr>
              <w:t>budgeting under uncertainty</w:t>
            </w:r>
            <w:r>
              <w:rPr>
                <w:rFonts w:asciiTheme="minorHAnsi" w:hAnsiTheme="minorHAnsi" w:cstheme="minorHAnsi"/>
                <w:b w:val="0"/>
                <w:sz w:val="24"/>
                <w:szCs w:val="24"/>
                <w:u w:val="none"/>
              </w:rPr>
              <w:t>; and optimal capital structure.</w:t>
            </w:r>
          </w:p>
        </w:tc>
      </w:tr>
    </w:tbl>
    <w:p w14:paraId="01581D74" w14:textId="77777777" w:rsidR="0060577E" w:rsidRPr="00EC6E89" w:rsidRDefault="0060577E" w:rsidP="00EC6E89">
      <w:pPr>
        <w:widowControl w:val="0"/>
        <w:autoSpaceDE w:val="0"/>
        <w:autoSpaceDN w:val="0"/>
        <w:adjustRightInd w:val="0"/>
        <w:spacing w:after="0" w:line="240" w:lineRule="auto"/>
        <w:rPr>
          <w:rFonts w:eastAsia="Times New Roman" w:cs="Times New Roman"/>
          <w:b/>
          <w:bCs/>
          <w:color w:val="000000"/>
          <w:sz w:val="16"/>
          <w:szCs w:val="16"/>
        </w:rPr>
      </w:pPr>
    </w:p>
    <w:p w14:paraId="2C6E9973" w14:textId="77777777" w:rsidR="0060577E" w:rsidRDefault="0060577E" w:rsidP="00EC6E89">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Educational Objectives/Outcomes</w:t>
      </w:r>
    </w:p>
    <w:p w14:paraId="2A018DFF" w14:textId="77777777" w:rsidR="00950DBE" w:rsidRPr="00EC6E89"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562ED28B" w14:textId="77777777" w:rsidTr="00CA5076">
        <w:tc>
          <w:tcPr>
            <w:tcW w:w="10440" w:type="dxa"/>
            <w:tcMar>
              <w:top w:w="115" w:type="dxa"/>
              <w:left w:w="115" w:type="dxa"/>
              <w:bottom w:w="115" w:type="dxa"/>
              <w:right w:w="115" w:type="dxa"/>
            </w:tcMar>
          </w:tcPr>
          <w:p w14:paraId="58B9F898" w14:textId="77777777" w:rsidR="0024790A" w:rsidRDefault="0024790A" w:rsidP="0024790A">
            <w:pPr>
              <w:tabs>
                <w:tab w:val="left" w:pos="0"/>
              </w:tabs>
              <w:rPr>
                <w:rFonts w:asciiTheme="minorHAnsi" w:hAnsiTheme="minorHAnsi" w:cstheme="minorHAnsi"/>
                <w:b w:val="0"/>
                <w:bCs w:val="0"/>
                <w:color w:val="auto"/>
                <w:sz w:val="24"/>
                <w:szCs w:val="24"/>
                <w:u w:val="none"/>
              </w:rPr>
            </w:pPr>
            <w:r w:rsidRPr="000C6551">
              <w:rPr>
                <w:rFonts w:asciiTheme="minorHAnsi" w:hAnsiTheme="minorHAnsi" w:cstheme="minorHAnsi"/>
                <w:b w:val="0"/>
                <w:bCs w:val="0"/>
                <w:color w:val="auto"/>
                <w:sz w:val="24"/>
                <w:szCs w:val="24"/>
                <w:u w:val="none"/>
              </w:rPr>
              <w:t>Upon completion of this course, students will be able to:</w:t>
            </w:r>
          </w:p>
          <w:p w14:paraId="7182B875" w14:textId="77777777" w:rsidR="0024790A" w:rsidRPr="000C6551" w:rsidRDefault="0024790A" w:rsidP="0024790A">
            <w:pPr>
              <w:tabs>
                <w:tab w:val="left" w:pos="0"/>
              </w:tabs>
              <w:rPr>
                <w:rFonts w:asciiTheme="minorHAnsi" w:hAnsiTheme="minorHAnsi" w:cstheme="minorHAnsi"/>
                <w:b w:val="0"/>
                <w:bCs w:val="0"/>
                <w:color w:val="auto"/>
                <w:sz w:val="24"/>
                <w:szCs w:val="24"/>
                <w:u w:val="none"/>
              </w:rPr>
            </w:pPr>
          </w:p>
          <w:p w14:paraId="3EEB4728" w14:textId="77777777" w:rsidR="0024790A" w:rsidRPr="00052F36"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Evaluate an organization’s corporate governance and executive compensation systems.</w:t>
            </w:r>
          </w:p>
          <w:p w14:paraId="63159DAD" w14:textId="77777777" w:rsidR="0024790A" w:rsidRPr="00052F36"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Formulate</w:t>
            </w:r>
            <w:r>
              <w:rPr>
                <w:rFonts w:asciiTheme="minorHAnsi" w:eastAsia="Times New Roman" w:hAnsiTheme="minorHAnsi" w:cstheme="minorHAnsi"/>
                <w:b w:val="0"/>
                <w:color w:val="2D2D2D"/>
                <w:sz w:val="24"/>
                <w:szCs w:val="24"/>
                <w:u w:val="none"/>
              </w:rPr>
              <w:t xml:space="preserve"> an appropriate </w:t>
            </w:r>
            <w:r w:rsidRPr="00052F36">
              <w:rPr>
                <w:rFonts w:asciiTheme="minorHAnsi" w:eastAsia="Times New Roman" w:hAnsiTheme="minorHAnsi" w:cstheme="minorHAnsi"/>
                <w:b w:val="0"/>
                <w:color w:val="2D2D2D"/>
                <w:sz w:val="24"/>
                <w:szCs w:val="24"/>
                <w:u w:val="none"/>
              </w:rPr>
              <w:t>dividend policy for a business.</w:t>
            </w:r>
          </w:p>
          <w:p w14:paraId="4F4ECF03" w14:textId="77777777" w:rsidR="0024790A" w:rsidRPr="00052F36"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 xml:space="preserve">Assess the degree to which a company matches the maturity of its assets and liabilities and the problems mismatching </w:t>
            </w:r>
            <w:r>
              <w:rPr>
                <w:rFonts w:asciiTheme="minorHAnsi" w:eastAsia="Times New Roman" w:hAnsiTheme="minorHAnsi" w:cstheme="minorHAnsi"/>
                <w:b w:val="0"/>
                <w:color w:val="2D2D2D"/>
                <w:sz w:val="24"/>
                <w:szCs w:val="24"/>
                <w:u w:val="none"/>
              </w:rPr>
              <w:t>can</w:t>
            </w:r>
            <w:r w:rsidRPr="00052F36">
              <w:rPr>
                <w:rFonts w:asciiTheme="minorHAnsi" w:eastAsia="Times New Roman" w:hAnsiTheme="minorHAnsi" w:cstheme="minorHAnsi"/>
                <w:b w:val="0"/>
                <w:color w:val="2D2D2D"/>
                <w:sz w:val="24"/>
                <w:szCs w:val="24"/>
                <w:u w:val="none"/>
              </w:rPr>
              <w:t xml:space="preserve"> create.</w:t>
            </w:r>
          </w:p>
          <w:p w14:paraId="1D6885C7" w14:textId="77777777" w:rsidR="0024790A" w:rsidRPr="00052F36" w:rsidRDefault="0024790A" w:rsidP="000505C0">
            <w:pPr>
              <w:numPr>
                <w:ilvl w:val="0"/>
                <w:numId w:val="3"/>
              </w:numPr>
              <w:shd w:val="clear" w:color="auto" w:fill="FFFFFF"/>
              <w:tabs>
                <w:tab w:val="clear" w:pos="720"/>
                <w:tab w:val="num" w:pos="330"/>
              </w:tabs>
              <w:ind w:left="330" w:right="-149"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 xml:space="preserve">Develop a short-term and long-term financial plan for an organization </w:t>
            </w:r>
            <w:r>
              <w:rPr>
                <w:rFonts w:asciiTheme="minorHAnsi" w:eastAsia="Times New Roman" w:hAnsiTheme="minorHAnsi" w:cstheme="minorHAnsi"/>
                <w:b w:val="0"/>
                <w:color w:val="2D2D2D"/>
                <w:sz w:val="24"/>
                <w:szCs w:val="24"/>
                <w:u w:val="none"/>
              </w:rPr>
              <w:t>that adheres to</w:t>
            </w:r>
            <w:r w:rsidRPr="00052F36">
              <w:rPr>
                <w:rFonts w:asciiTheme="minorHAnsi" w:eastAsia="Times New Roman" w:hAnsiTheme="minorHAnsi" w:cstheme="minorHAnsi"/>
                <w:b w:val="0"/>
                <w:color w:val="2D2D2D"/>
                <w:sz w:val="24"/>
                <w:szCs w:val="24"/>
                <w:u w:val="none"/>
              </w:rPr>
              <w:t xml:space="preserve"> its lending covenants</w:t>
            </w:r>
            <w:r>
              <w:rPr>
                <w:rFonts w:asciiTheme="minorHAnsi" w:eastAsia="Times New Roman" w:hAnsiTheme="minorHAnsi" w:cstheme="minorHAnsi"/>
                <w:b w:val="0"/>
                <w:color w:val="2D2D2D"/>
                <w:sz w:val="24"/>
                <w:szCs w:val="24"/>
                <w:u w:val="none"/>
              </w:rPr>
              <w:t xml:space="preserve">, follows its financial policies, </w:t>
            </w:r>
            <w:r w:rsidRPr="00052F36">
              <w:rPr>
                <w:rFonts w:asciiTheme="minorHAnsi" w:eastAsia="Times New Roman" w:hAnsiTheme="minorHAnsi" w:cstheme="minorHAnsi"/>
                <w:b w:val="0"/>
                <w:color w:val="2D2D2D"/>
                <w:sz w:val="24"/>
                <w:szCs w:val="24"/>
                <w:u w:val="none"/>
              </w:rPr>
              <w:t xml:space="preserve">and attains </w:t>
            </w:r>
            <w:r>
              <w:rPr>
                <w:rFonts w:asciiTheme="minorHAnsi" w:eastAsia="Times New Roman" w:hAnsiTheme="minorHAnsi" w:cstheme="minorHAnsi"/>
                <w:b w:val="0"/>
                <w:color w:val="2D2D2D"/>
                <w:sz w:val="24"/>
                <w:szCs w:val="24"/>
                <w:u w:val="none"/>
              </w:rPr>
              <w:t>its</w:t>
            </w:r>
            <w:r w:rsidRPr="00052F36">
              <w:rPr>
                <w:rFonts w:asciiTheme="minorHAnsi" w:eastAsia="Times New Roman" w:hAnsiTheme="minorHAnsi" w:cstheme="minorHAnsi"/>
                <w:b w:val="0"/>
                <w:color w:val="2D2D2D"/>
                <w:sz w:val="24"/>
                <w:szCs w:val="24"/>
                <w:u w:val="none"/>
              </w:rPr>
              <w:t xml:space="preserve"> operational and financial goals.</w:t>
            </w:r>
          </w:p>
          <w:p w14:paraId="4DE0D50B" w14:textId="77777777" w:rsidR="0024790A" w:rsidRPr="00052F36"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Manage a company’s sustainable growth rate to minimize its dependence on external financing.</w:t>
            </w:r>
          </w:p>
          <w:p w14:paraId="4559F836" w14:textId="58A36928" w:rsidR="0024790A" w:rsidRPr="00052F36"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Manage an organization’s operating assets and liabilities.</w:t>
            </w:r>
          </w:p>
          <w:p w14:paraId="27941B11" w14:textId="77777777" w:rsidR="0024790A" w:rsidRPr="00052F36"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Appraise the different forms of permanent debt and equity financing.</w:t>
            </w:r>
          </w:p>
          <w:p w14:paraId="41D4DED7" w14:textId="77777777" w:rsidR="0024790A"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052F36">
              <w:rPr>
                <w:rFonts w:asciiTheme="minorHAnsi" w:eastAsia="Times New Roman" w:hAnsiTheme="minorHAnsi" w:cstheme="minorHAnsi"/>
                <w:b w:val="0"/>
                <w:color w:val="2D2D2D"/>
                <w:sz w:val="24"/>
                <w:szCs w:val="24"/>
                <w:u w:val="none"/>
              </w:rPr>
              <w:t>Calculate the net present value of a new project or business venture using complex capital budgeting techniques under conditions of uncertainty.</w:t>
            </w:r>
          </w:p>
          <w:p w14:paraId="1C99DFE3" w14:textId="4ADAAABD" w:rsidR="0024790A" w:rsidRPr="0024790A" w:rsidRDefault="0024790A" w:rsidP="000505C0">
            <w:pPr>
              <w:numPr>
                <w:ilvl w:val="0"/>
                <w:numId w:val="3"/>
              </w:numPr>
              <w:shd w:val="clear" w:color="auto" w:fill="FFFFFF"/>
              <w:tabs>
                <w:tab w:val="clear" w:pos="720"/>
                <w:tab w:val="num" w:pos="330"/>
              </w:tabs>
              <w:ind w:left="330" w:hanging="330"/>
              <w:rPr>
                <w:rFonts w:asciiTheme="minorHAnsi" w:eastAsia="Times New Roman" w:hAnsiTheme="minorHAnsi" w:cstheme="minorHAnsi"/>
                <w:b w:val="0"/>
                <w:color w:val="2D2D2D"/>
                <w:sz w:val="24"/>
                <w:szCs w:val="24"/>
                <w:u w:val="none"/>
              </w:rPr>
            </w:pPr>
            <w:r w:rsidRPr="0024790A">
              <w:rPr>
                <w:rFonts w:asciiTheme="minorHAnsi" w:hAnsiTheme="minorHAnsi" w:cstheme="minorHAnsi"/>
                <w:b w:val="0"/>
                <w:color w:val="000000" w:themeColor="text1"/>
                <w:sz w:val="24"/>
                <w:szCs w:val="24"/>
                <w:u w:val="none"/>
              </w:rPr>
              <w:t>Determine</w:t>
            </w:r>
            <w:r w:rsidRPr="0024790A">
              <w:rPr>
                <w:rFonts w:asciiTheme="minorHAnsi" w:hAnsiTheme="minorHAnsi" w:cstheme="minorHAnsi"/>
                <w:b w:val="0"/>
                <w:bCs w:val="0"/>
                <w:color w:val="000000" w:themeColor="text1"/>
                <w:sz w:val="24"/>
                <w:szCs w:val="24"/>
                <w:u w:val="none"/>
              </w:rPr>
              <w:t xml:space="preserve"> a company’s optimal capital structure</w:t>
            </w:r>
            <w:r w:rsidRPr="0024790A">
              <w:rPr>
                <w:rFonts w:asciiTheme="minorHAnsi" w:hAnsiTheme="minorHAnsi" w:cstheme="minorHAnsi"/>
                <w:b w:val="0"/>
                <w:bCs w:val="0"/>
                <w:color w:val="auto"/>
                <w:sz w:val="24"/>
                <w:szCs w:val="24"/>
                <w:u w:val="none"/>
              </w:rPr>
              <w:t>.</w:t>
            </w:r>
          </w:p>
        </w:tc>
      </w:tr>
    </w:tbl>
    <w:p w14:paraId="047F3130" w14:textId="77777777" w:rsidR="00C33A70" w:rsidRPr="00F73F2A" w:rsidRDefault="00C33A70" w:rsidP="0060577E">
      <w:pPr>
        <w:keepLines/>
        <w:widowControl w:val="0"/>
        <w:autoSpaceDE w:val="0"/>
        <w:autoSpaceDN w:val="0"/>
        <w:adjustRightInd w:val="0"/>
        <w:spacing w:after="0" w:line="240" w:lineRule="auto"/>
        <w:rPr>
          <w:rFonts w:eastAsia="Times New Roman" w:cs="Times New Roman"/>
          <w:b/>
          <w:bCs/>
          <w:color w:val="000000"/>
          <w:sz w:val="16"/>
          <w:szCs w:val="16"/>
        </w:rPr>
      </w:pPr>
    </w:p>
    <w:p w14:paraId="5FFC8CA7" w14:textId="1082C9AA"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lastRenderedPageBreak/>
        <w:t>Prerequisites</w:t>
      </w:r>
    </w:p>
    <w:p w14:paraId="76ACDA2D"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21CC7CBD" w14:textId="77777777" w:rsidTr="00CA5076">
        <w:tc>
          <w:tcPr>
            <w:tcW w:w="10440" w:type="dxa"/>
            <w:tcMar>
              <w:top w:w="115" w:type="dxa"/>
              <w:left w:w="115" w:type="dxa"/>
              <w:bottom w:w="115" w:type="dxa"/>
              <w:right w:w="115" w:type="dxa"/>
            </w:tcMar>
          </w:tcPr>
          <w:p w14:paraId="10B63923" w14:textId="77777777" w:rsidR="0024790A" w:rsidRPr="00595A02" w:rsidRDefault="0024790A" w:rsidP="0024790A">
            <w:pPr>
              <w:rPr>
                <w:rFonts w:asciiTheme="minorHAnsi" w:hAnsiTheme="minorHAnsi" w:cstheme="minorHAnsi"/>
                <w:b w:val="0"/>
                <w:bCs w:val="0"/>
                <w:sz w:val="24"/>
                <w:szCs w:val="24"/>
                <w:u w:val="none"/>
              </w:rPr>
            </w:pPr>
            <w:r w:rsidRPr="00595A02">
              <w:rPr>
                <w:rFonts w:asciiTheme="minorHAnsi" w:hAnsiTheme="minorHAnsi" w:cstheme="minorHAnsi"/>
                <w:b w:val="0"/>
                <w:bCs w:val="0"/>
                <w:sz w:val="24"/>
                <w:szCs w:val="24"/>
                <w:u w:val="none"/>
              </w:rPr>
              <w:t>FNCE 2120 or equivalent with a minimum C+; ECON 2330 or equivalent with a minimum C-</w:t>
            </w:r>
          </w:p>
          <w:p w14:paraId="2C0A4A2D" w14:textId="39BAA9AA" w:rsidR="00025399" w:rsidRPr="003B4D4A" w:rsidRDefault="0024790A" w:rsidP="0024790A">
            <w:pPr>
              <w:rPr>
                <w:rFonts w:asciiTheme="minorHAnsi" w:hAnsiTheme="minorHAnsi" w:cs="Times New Roman"/>
                <w:b w:val="0"/>
                <w:sz w:val="24"/>
                <w:szCs w:val="24"/>
                <w:u w:val="none"/>
              </w:rPr>
            </w:pPr>
            <w:r w:rsidRPr="00595A02">
              <w:rPr>
                <w:rFonts w:asciiTheme="minorHAnsi" w:hAnsiTheme="minorHAnsi" w:cstheme="minorHAnsi"/>
                <w:b w:val="0"/>
                <w:bCs w:val="0"/>
                <w:sz w:val="24"/>
                <w:szCs w:val="24"/>
                <w:u w:val="none"/>
              </w:rPr>
              <w:br/>
              <w:t>Note: Students cannot receive credit for more than one of FNCE 4130, FNCE 4110 or FNCE 4111.</w:t>
            </w:r>
          </w:p>
        </w:tc>
      </w:tr>
    </w:tbl>
    <w:p w14:paraId="3CDA10B6" w14:textId="77777777" w:rsidR="0060577E" w:rsidRPr="00F73F2A" w:rsidRDefault="0060577E" w:rsidP="0060577E">
      <w:pPr>
        <w:keepLines/>
        <w:widowControl w:val="0"/>
        <w:autoSpaceDE w:val="0"/>
        <w:autoSpaceDN w:val="0"/>
        <w:adjustRightInd w:val="0"/>
        <w:spacing w:after="0" w:line="240" w:lineRule="auto"/>
        <w:rPr>
          <w:rFonts w:eastAsia="Times New Roman" w:cs="Times New Roman"/>
          <w:color w:val="000000"/>
          <w:sz w:val="16"/>
          <w:szCs w:val="16"/>
        </w:rPr>
      </w:pPr>
    </w:p>
    <w:p w14:paraId="14BFFCD9"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Co-requisites</w:t>
      </w:r>
    </w:p>
    <w:p w14:paraId="2453C56F"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2B993643" w14:textId="77777777" w:rsidTr="00CA5076">
        <w:tc>
          <w:tcPr>
            <w:tcW w:w="10440" w:type="dxa"/>
            <w:tcMar>
              <w:top w:w="115" w:type="dxa"/>
              <w:left w:w="115" w:type="dxa"/>
              <w:bottom w:w="115" w:type="dxa"/>
              <w:right w:w="115" w:type="dxa"/>
            </w:tcMar>
          </w:tcPr>
          <w:p w14:paraId="3CC9FA6F" w14:textId="77777777" w:rsidR="001C5031" w:rsidRPr="003B4D4A" w:rsidRDefault="00B55D86" w:rsidP="0060577E">
            <w:pPr>
              <w:keepLines/>
              <w:widowControl w:val="0"/>
              <w:autoSpaceDE w:val="0"/>
              <w:autoSpaceDN w:val="0"/>
              <w:adjustRightInd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None</w:t>
            </w:r>
          </w:p>
        </w:tc>
      </w:tr>
    </w:tbl>
    <w:p w14:paraId="2FC37C30" w14:textId="77777777" w:rsidR="0060577E" w:rsidRPr="00F73F2A" w:rsidRDefault="0060577E" w:rsidP="0060577E">
      <w:pPr>
        <w:keepLines/>
        <w:widowControl w:val="0"/>
        <w:autoSpaceDE w:val="0"/>
        <w:autoSpaceDN w:val="0"/>
        <w:adjustRightInd w:val="0"/>
        <w:spacing w:after="0" w:line="240" w:lineRule="auto"/>
        <w:rPr>
          <w:rFonts w:eastAsia="Times New Roman" w:cs="Times New Roman"/>
          <w:color w:val="000000"/>
          <w:sz w:val="16"/>
          <w:szCs w:val="16"/>
        </w:rPr>
      </w:pPr>
    </w:p>
    <w:p w14:paraId="797FFABA"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Texts/Materials</w:t>
      </w:r>
    </w:p>
    <w:p w14:paraId="3DC2A1BD"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62D1AA9A" w14:textId="77777777" w:rsidTr="00CA5076">
        <w:tc>
          <w:tcPr>
            <w:tcW w:w="10440" w:type="dxa"/>
            <w:tcMar>
              <w:top w:w="115" w:type="dxa"/>
              <w:left w:w="115" w:type="dxa"/>
              <w:bottom w:w="115" w:type="dxa"/>
              <w:right w:w="115" w:type="dxa"/>
            </w:tcMar>
          </w:tcPr>
          <w:p w14:paraId="63C244AE" w14:textId="4C4B9835" w:rsidR="00F73F2A" w:rsidRPr="00FA391B" w:rsidRDefault="0065566B" w:rsidP="00FA391B">
            <w:pPr>
              <w:rPr>
                <w:rFonts w:asciiTheme="minorHAnsi" w:hAnsiTheme="minorHAnsi" w:cstheme="minorHAnsi"/>
                <w:sz w:val="24"/>
                <w:szCs w:val="24"/>
                <w:u w:val="none"/>
              </w:rPr>
            </w:pPr>
            <w:r w:rsidRPr="009032F3">
              <w:rPr>
                <w:rFonts w:asciiTheme="minorHAnsi" w:hAnsiTheme="minorHAnsi" w:cstheme="minorHAnsi"/>
                <w:sz w:val="24"/>
                <w:szCs w:val="24"/>
                <w:u w:val="none"/>
              </w:rPr>
              <w:t>Review Modules</w:t>
            </w:r>
          </w:p>
          <w:p w14:paraId="064399E7" w14:textId="0546CE9F" w:rsidR="0065566B" w:rsidRDefault="0065566B" w:rsidP="0065566B">
            <w:pPr>
              <w:ind w:left="420" w:hanging="90"/>
              <w:rPr>
                <w:rFonts w:asciiTheme="minorHAnsi" w:hAnsiTheme="minorHAnsi" w:cstheme="minorHAnsi"/>
                <w:sz w:val="24"/>
                <w:szCs w:val="24"/>
                <w:u w:val="none"/>
              </w:rPr>
            </w:pPr>
            <w:r>
              <w:rPr>
                <w:rFonts w:asciiTheme="minorHAnsi" w:hAnsiTheme="minorHAnsi" w:cstheme="minorHAnsi"/>
                <w:b w:val="0"/>
                <w:sz w:val="24"/>
                <w:szCs w:val="24"/>
                <w:u w:val="none"/>
              </w:rPr>
              <w:t>Financial Statement Analysis</w:t>
            </w:r>
          </w:p>
          <w:p w14:paraId="7BDEBC69" w14:textId="77777777" w:rsidR="0065566B" w:rsidRDefault="0065566B" w:rsidP="0065566B">
            <w:pPr>
              <w:rPr>
                <w:rFonts w:asciiTheme="minorHAnsi" w:hAnsiTheme="minorHAnsi" w:cstheme="minorHAnsi"/>
                <w:sz w:val="24"/>
                <w:szCs w:val="24"/>
                <w:u w:val="none"/>
              </w:rPr>
            </w:pPr>
          </w:p>
          <w:p w14:paraId="3CD40D9C" w14:textId="0B1B0233" w:rsidR="00F73F2A" w:rsidRPr="00FA391B" w:rsidRDefault="0065566B" w:rsidP="00FA391B">
            <w:pPr>
              <w:rPr>
                <w:rFonts w:asciiTheme="minorHAnsi" w:hAnsiTheme="minorHAnsi" w:cstheme="minorHAnsi"/>
                <w:sz w:val="24"/>
                <w:szCs w:val="24"/>
                <w:u w:val="none"/>
              </w:rPr>
            </w:pPr>
            <w:r>
              <w:rPr>
                <w:rFonts w:asciiTheme="minorHAnsi" w:hAnsiTheme="minorHAnsi" w:cstheme="minorHAnsi"/>
                <w:sz w:val="24"/>
                <w:szCs w:val="24"/>
                <w:u w:val="none"/>
              </w:rPr>
              <w:t>Course</w:t>
            </w:r>
            <w:r w:rsidR="009735B2" w:rsidRPr="004D77EA">
              <w:rPr>
                <w:rFonts w:asciiTheme="minorHAnsi" w:hAnsiTheme="minorHAnsi" w:cstheme="minorHAnsi"/>
                <w:sz w:val="24"/>
                <w:szCs w:val="24"/>
                <w:u w:val="none"/>
              </w:rPr>
              <w:t xml:space="preserve"> Modules</w:t>
            </w:r>
          </w:p>
          <w:p w14:paraId="7F87FB3E" w14:textId="18BCC5CE"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Dividends and Dividend Policy</w:t>
            </w:r>
          </w:p>
          <w:p w14:paraId="1EBE814C"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Maturity Matching</w:t>
            </w:r>
          </w:p>
          <w:p w14:paraId="0D72F92F"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Financial Planning and Growth</w:t>
            </w:r>
          </w:p>
          <w:p w14:paraId="0ECE38E0" w14:textId="77777777" w:rsidR="009735B2" w:rsidRP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Working Capital Management</w:t>
            </w:r>
          </w:p>
          <w:p w14:paraId="186890B7" w14:textId="77777777" w:rsidR="009735B2" w:rsidRDefault="009735B2" w:rsidP="009735B2">
            <w:pPr>
              <w:ind w:left="330"/>
              <w:rPr>
                <w:rFonts w:asciiTheme="minorHAnsi" w:hAnsiTheme="minorHAnsi" w:cstheme="minorHAnsi"/>
                <w:b w:val="0"/>
                <w:sz w:val="24"/>
                <w:szCs w:val="24"/>
                <w:u w:val="none"/>
              </w:rPr>
            </w:pPr>
            <w:r w:rsidRPr="009735B2">
              <w:rPr>
                <w:rFonts w:asciiTheme="minorHAnsi" w:hAnsiTheme="minorHAnsi" w:cstheme="minorHAnsi"/>
                <w:b w:val="0"/>
                <w:sz w:val="24"/>
                <w:szCs w:val="24"/>
                <w:u w:val="none"/>
              </w:rPr>
              <w:t>Permanent Debt and Equity Financing</w:t>
            </w:r>
          </w:p>
          <w:p w14:paraId="292BEB49" w14:textId="43504308" w:rsidR="009C2C12" w:rsidRDefault="009C2C12" w:rsidP="009735B2">
            <w:pPr>
              <w:ind w:left="330"/>
              <w:rPr>
                <w:rFonts w:asciiTheme="minorHAnsi" w:hAnsiTheme="minorHAnsi" w:cstheme="minorHAnsi"/>
                <w:b w:val="0"/>
                <w:sz w:val="24"/>
                <w:szCs w:val="24"/>
                <w:u w:val="none"/>
              </w:rPr>
            </w:pPr>
            <w:r>
              <w:rPr>
                <w:rFonts w:asciiTheme="minorHAnsi" w:hAnsiTheme="minorHAnsi" w:cstheme="minorHAnsi"/>
                <w:b w:val="0"/>
                <w:sz w:val="24"/>
                <w:szCs w:val="24"/>
                <w:u w:val="none"/>
              </w:rPr>
              <w:t>Capital Budgeting</w:t>
            </w:r>
          </w:p>
          <w:p w14:paraId="750B1367" w14:textId="77777777" w:rsidR="00F46934" w:rsidRDefault="009C2C12" w:rsidP="00F46934">
            <w:pPr>
              <w:ind w:left="330"/>
              <w:rPr>
                <w:rFonts w:asciiTheme="minorHAnsi" w:hAnsiTheme="minorHAnsi" w:cstheme="minorHAnsi"/>
                <w:b w:val="0"/>
                <w:sz w:val="24"/>
                <w:szCs w:val="24"/>
                <w:u w:val="none"/>
              </w:rPr>
            </w:pPr>
            <w:r>
              <w:rPr>
                <w:rFonts w:asciiTheme="minorHAnsi" w:hAnsiTheme="minorHAnsi" w:cstheme="minorHAnsi"/>
                <w:b w:val="0"/>
                <w:sz w:val="24"/>
                <w:szCs w:val="24"/>
                <w:u w:val="none"/>
              </w:rPr>
              <w:t>Optimal Capital Structure</w:t>
            </w:r>
          </w:p>
          <w:p w14:paraId="6EC3A65A" w14:textId="6E735052" w:rsidR="009032F3" w:rsidRPr="00517991" w:rsidRDefault="00F46934" w:rsidP="00F46934">
            <w:pPr>
              <w:ind w:left="330"/>
              <w:rPr>
                <w:rFonts w:asciiTheme="minorHAnsi" w:hAnsiTheme="minorHAnsi" w:cstheme="minorHAnsi"/>
                <w:b w:val="0"/>
                <w:sz w:val="24"/>
                <w:szCs w:val="24"/>
                <w:u w:val="none"/>
              </w:rPr>
            </w:pPr>
            <w:r>
              <w:rPr>
                <w:rFonts w:asciiTheme="minorHAnsi" w:hAnsiTheme="minorHAnsi" w:cstheme="minorHAnsi"/>
                <w:b w:val="0"/>
                <w:sz w:val="24"/>
                <w:szCs w:val="24"/>
                <w:u w:val="none"/>
              </w:rPr>
              <w:t>Corporate Governance and Executive Compensation</w:t>
            </w:r>
          </w:p>
        </w:tc>
      </w:tr>
    </w:tbl>
    <w:p w14:paraId="208AC2F8" w14:textId="77777777" w:rsidR="0060577E" w:rsidRPr="00F73F2A" w:rsidRDefault="0060577E" w:rsidP="0060577E">
      <w:pPr>
        <w:widowControl w:val="0"/>
        <w:autoSpaceDE w:val="0"/>
        <w:autoSpaceDN w:val="0"/>
        <w:adjustRightInd w:val="0"/>
        <w:spacing w:after="0" w:line="240" w:lineRule="auto"/>
        <w:rPr>
          <w:rFonts w:eastAsia="Times New Roman" w:cs="Times New Roman"/>
          <w:color w:val="000000"/>
          <w:sz w:val="16"/>
          <w:szCs w:val="16"/>
        </w:rPr>
      </w:pPr>
    </w:p>
    <w:p w14:paraId="06666296" w14:textId="77777777"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t>Student Evaluation</w:t>
      </w:r>
    </w:p>
    <w:p w14:paraId="20E0DAB4" w14:textId="77777777" w:rsidR="00950DBE" w:rsidRPr="00F73F2A" w:rsidRDefault="00950DBE" w:rsidP="0060577E">
      <w:pPr>
        <w:keepLines/>
        <w:widowControl w:val="0"/>
        <w:autoSpaceDE w:val="0"/>
        <w:autoSpaceDN w:val="0"/>
        <w:adjustRightInd w:val="0"/>
        <w:spacing w:after="0" w:line="240" w:lineRule="auto"/>
        <w:rPr>
          <w:rFonts w:eastAsia="Times New Roman" w:cs="Times New Roman"/>
          <w:b/>
          <w:bCs/>
          <w:color w:val="000000"/>
          <w:sz w:val="16"/>
          <w:szCs w:val="16"/>
        </w:rPr>
      </w:pPr>
    </w:p>
    <w:tbl>
      <w:tblPr>
        <w:tblStyle w:val="TableGrid"/>
        <w:tblW w:w="0" w:type="auto"/>
        <w:tblLook w:val="04A0" w:firstRow="1" w:lastRow="0" w:firstColumn="1" w:lastColumn="0" w:noHBand="0" w:noVBand="1"/>
      </w:tblPr>
      <w:tblGrid>
        <w:gridCol w:w="10214"/>
      </w:tblGrid>
      <w:tr w:rsidR="0060577E" w:rsidRPr="003B4D4A" w14:paraId="54BF0F42" w14:textId="77777777" w:rsidTr="00B27998">
        <w:trPr>
          <w:trHeight w:val="298"/>
        </w:trPr>
        <w:tc>
          <w:tcPr>
            <w:tcW w:w="10214" w:type="dxa"/>
            <w:tcMar>
              <w:top w:w="115" w:type="dxa"/>
              <w:left w:w="115" w:type="dxa"/>
              <w:bottom w:w="115" w:type="dxa"/>
              <w:right w:w="115" w:type="dxa"/>
            </w:tcMar>
          </w:tcPr>
          <w:p w14:paraId="7F737845" w14:textId="3D982995" w:rsidR="002A62E2" w:rsidRPr="002A62E2" w:rsidRDefault="00235352" w:rsidP="002A62E2">
            <w:pPr>
              <w:rPr>
                <w:rFonts w:asciiTheme="minorHAnsi" w:eastAsia="Times New Roman" w:hAnsiTheme="minorHAnsi" w:cstheme="minorHAnsi"/>
                <w:b w:val="0"/>
                <w:bCs w:val="0"/>
                <w:sz w:val="24"/>
                <w:szCs w:val="24"/>
                <w:u w:val="none"/>
                <w:lang w:val="en-CA" w:eastAsia="en-CA"/>
              </w:rPr>
            </w:pPr>
            <w:r>
              <w:rPr>
                <w:rFonts w:asciiTheme="minorHAnsi" w:eastAsia="Times New Roman" w:hAnsiTheme="minorHAnsi" w:cstheme="minorHAnsi"/>
                <w:b w:val="0"/>
                <w:bCs w:val="0"/>
                <w:sz w:val="24"/>
                <w:szCs w:val="24"/>
                <w:u w:val="none"/>
                <w:lang w:val="en-CA" w:eastAsia="en-CA"/>
              </w:rPr>
              <w:t>The e</w:t>
            </w:r>
            <w:r w:rsidR="002A62E2" w:rsidRPr="002A62E2">
              <w:rPr>
                <w:rFonts w:asciiTheme="minorHAnsi" w:eastAsia="Times New Roman" w:hAnsiTheme="minorHAnsi" w:cstheme="minorHAnsi"/>
                <w:b w:val="0"/>
                <w:bCs w:val="0"/>
                <w:sz w:val="24"/>
                <w:szCs w:val="24"/>
                <w:u w:val="none"/>
                <w:lang w:val="en-CA" w:eastAsia="en-CA"/>
              </w:rPr>
              <w:t>valuation consists of:</w:t>
            </w:r>
          </w:p>
          <w:p w14:paraId="68963259" w14:textId="77777777" w:rsidR="002A62E2" w:rsidRPr="00B27998" w:rsidRDefault="002A62E2" w:rsidP="002A62E2">
            <w:pPr>
              <w:rPr>
                <w:rFonts w:asciiTheme="minorHAnsi" w:eastAsia="Times New Roman" w:hAnsiTheme="minorHAnsi" w:cstheme="minorHAnsi"/>
                <w:b w:val="0"/>
                <w:bCs w:val="0"/>
                <w:u w:val="none"/>
                <w:lang w:val="en-CA" w:eastAsia="en-CA"/>
              </w:rPr>
            </w:pPr>
          </w:p>
          <w:p w14:paraId="4F8C107E" w14:textId="519F2DCB" w:rsidR="0061702F" w:rsidRDefault="0061702F" w:rsidP="002A62E2">
            <w:pPr>
              <w:ind w:left="330"/>
              <w:rPr>
                <w:rFonts w:asciiTheme="minorHAnsi" w:eastAsia="Times New Roman" w:hAnsiTheme="minorHAnsi" w:cstheme="minorHAnsi"/>
                <w:b w:val="0"/>
                <w:bCs w:val="0"/>
                <w:sz w:val="24"/>
                <w:szCs w:val="24"/>
                <w:u w:val="none"/>
                <w:lang w:val="en-CA" w:eastAsia="en-CA"/>
              </w:rPr>
            </w:pPr>
            <w:r>
              <w:rPr>
                <w:rFonts w:asciiTheme="minorHAnsi" w:eastAsia="Times New Roman" w:hAnsiTheme="minorHAnsi" w:cstheme="minorHAnsi"/>
                <w:b w:val="0"/>
                <w:bCs w:val="0"/>
                <w:sz w:val="24"/>
                <w:szCs w:val="24"/>
                <w:u w:val="none"/>
                <w:lang w:val="en-CA" w:eastAsia="en-CA"/>
              </w:rPr>
              <w:t>Quizzes (</w:t>
            </w:r>
            <w:r w:rsidR="005F4E84">
              <w:rPr>
                <w:rFonts w:asciiTheme="minorHAnsi" w:eastAsia="Times New Roman" w:hAnsiTheme="minorHAnsi" w:cstheme="minorHAnsi"/>
                <w:b w:val="0"/>
                <w:bCs w:val="0"/>
                <w:sz w:val="24"/>
                <w:szCs w:val="24"/>
                <w:u w:val="none"/>
                <w:lang w:val="en-CA" w:eastAsia="en-CA"/>
              </w:rPr>
              <w:t>9</w:t>
            </w:r>
            <w:r w:rsidR="00714F45">
              <w:rPr>
                <w:rFonts w:asciiTheme="minorHAnsi" w:eastAsia="Times New Roman" w:hAnsiTheme="minorHAnsi" w:cstheme="minorHAnsi"/>
                <w:b w:val="0"/>
                <w:bCs w:val="0"/>
                <w:sz w:val="24"/>
                <w:szCs w:val="24"/>
                <w:u w:val="none"/>
                <w:lang w:val="en-CA" w:eastAsia="en-CA"/>
              </w:rPr>
              <w:t>)</w:t>
            </w:r>
            <w:r>
              <w:rPr>
                <w:rFonts w:asciiTheme="minorHAnsi" w:eastAsia="Times New Roman" w:hAnsiTheme="minorHAnsi" w:cstheme="minorHAnsi"/>
                <w:b w:val="0"/>
                <w:bCs w:val="0"/>
                <w:sz w:val="24"/>
                <w:szCs w:val="24"/>
                <w:u w:val="none"/>
                <w:lang w:val="en-CA" w:eastAsia="en-CA"/>
              </w:rPr>
              <w:t xml:space="preserve"> </w:t>
            </w:r>
            <w:r w:rsidR="00714F45">
              <w:rPr>
                <w:rFonts w:asciiTheme="minorHAnsi" w:eastAsia="Times New Roman" w:hAnsiTheme="minorHAnsi" w:cstheme="minorHAnsi"/>
                <w:b w:val="0"/>
                <w:bCs w:val="0"/>
                <w:sz w:val="24"/>
                <w:szCs w:val="24"/>
                <w:u w:val="none"/>
                <w:lang w:val="en-CA" w:eastAsia="en-CA"/>
              </w:rPr>
              <w:t>-</w:t>
            </w:r>
            <w:r>
              <w:rPr>
                <w:rFonts w:asciiTheme="minorHAnsi" w:eastAsia="Times New Roman" w:hAnsiTheme="minorHAnsi" w:cstheme="minorHAnsi"/>
                <w:b w:val="0"/>
                <w:bCs w:val="0"/>
                <w:sz w:val="24"/>
                <w:szCs w:val="24"/>
                <w:u w:val="none"/>
                <w:lang w:val="en-CA" w:eastAsia="en-CA"/>
              </w:rPr>
              <w:t xml:space="preserve"> </w:t>
            </w:r>
            <w:r w:rsidR="00C33A70">
              <w:rPr>
                <w:rFonts w:asciiTheme="minorHAnsi" w:eastAsia="Times New Roman" w:hAnsiTheme="minorHAnsi" w:cstheme="minorHAnsi"/>
                <w:b w:val="0"/>
                <w:bCs w:val="0"/>
                <w:sz w:val="24"/>
                <w:szCs w:val="24"/>
                <w:u w:val="none"/>
                <w:lang w:val="en-CA" w:eastAsia="en-CA"/>
              </w:rPr>
              <w:t>2</w:t>
            </w:r>
            <w:r>
              <w:rPr>
                <w:rFonts w:asciiTheme="minorHAnsi" w:eastAsia="Times New Roman" w:hAnsiTheme="minorHAnsi" w:cstheme="minorHAnsi"/>
                <w:b w:val="0"/>
                <w:bCs w:val="0"/>
                <w:sz w:val="24"/>
                <w:szCs w:val="24"/>
                <w:u w:val="none"/>
                <w:lang w:val="en-CA" w:eastAsia="en-CA"/>
              </w:rPr>
              <w:t>0%</w:t>
            </w:r>
          </w:p>
          <w:p w14:paraId="44694878" w14:textId="399663C5"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Cases (2) - </w:t>
            </w:r>
            <w:r w:rsidR="00C92BB5">
              <w:rPr>
                <w:rFonts w:asciiTheme="minorHAnsi" w:eastAsia="Times New Roman" w:hAnsiTheme="minorHAnsi" w:cstheme="minorHAnsi"/>
                <w:b w:val="0"/>
                <w:bCs w:val="0"/>
                <w:sz w:val="24"/>
                <w:szCs w:val="24"/>
                <w:u w:val="none"/>
                <w:lang w:val="en-CA" w:eastAsia="en-CA"/>
              </w:rPr>
              <w:t>25</w:t>
            </w:r>
            <w:r w:rsidRPr="002A62E2">
              <w:rPr>
                <w:rFonts w:asciiTheme="minorHAnsi" w:eastAsia="Times New Roman" w:hAnsiTheme="minorHAnsi" w:cstheme="minorHAnsi"/>
                <w:b w:val="0"/>
                <w:bCs w:val="0"/>
                <w:sz w:val="24"/>
                <w:szCs w:val="24"/>
                <w:u w:val="none"/>
                <w:lang w:val="en-CA" w:eastAsia="en-CA"/>
              </w:rPr>
              <w:t>%</w:t>
            </w:r>
          </w:p>
          <w:p w14:paraId="160DFCC3" w14:textId="2216AE85"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Mid-term exam - </w:t>
            </w:r>
            <w:r w:rsidR="00C33A70">
              <w:rPr>
                <w:rFonts w:asciiTheme="minorHAnsi" w:eastAsia="Times New Roman" w:hAnsiTheme="minorHAnsi" w:cstheme="minorHAnsi"/>
                <w:b w:val="0"/>
                <w:bCs w:val="0"/>
                <w:sz w:val="24"/>
                <w:szCs w:val="24"/>
                <w:u w:val="none"/>
                <w:lang w:val="en-CA" w:eastAsia="en-CA"/>
              </w:rPr>
              <w:t>1</w:t>
            </w:r>
            <w:r w:rsidR="00C92BB5">
              <w:rPr>
                <w:rFonts w:asciiTheme="minorHAnsi" w:eastAsia="Times New Roman" w:hAnsiTheme="minorHAnsi" w:cstheme="minorHAnsi"/>
                <w:b w:val="0"/>
                <w:bCs w:val="0"/>
                <w:sz w:val="24"/>
                <w:szCs w:val="24"/>
                <w:u w:val="none"/>
                <w:lang w:val="en-CA" w:eastAsia="en-CA"/>
              </w:rPr>
              <w:t>5</w:t>
            </w:r>
            <w:r w:rsidRPr="002A62E2">
              <w:rPr>
                <w:rFonts w:asciiTheme="minorHAnsi" w:eastAsia="Times New Roman" w:hAnsiTheme="minorHAnsi" w:cstheme="minorHAnsi"/>
                <w:b w:val="0"/>
                <w:bCs w:val="0"/>
                <w:sz w:val="24"/>
                <w:szCs w:val="24"/>
                <w:u w:val="none"/>
                <w:lang w:val="en-CA" w:eastAsia="en-CA"/>
              </w:rPr>
              <w:t>%</w:t>
            </w:r>
          </w:p>
          <w:p w14:paraId="31A67E29" w14:textId="08A9EBD0" w:rsidR="002A62E2" w:rsidRPr="002A62E2" w:rsidRDefault="002A62E2" w:rsidP="002A62E2">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Final exam  - </w:t>
            </w:r>
            <w:r w:rsidR="0079207A">
              <w:rPr>
                <w:rFonts w:asciiTheme="minorHAnsi" w:eastAsia="Times New Roman" w:hAnsiTheme="minorHAnsi" w:cstheme="minorHAnsi"/>
                <w:b w:val="0"/>
                <w:bCs w:val="0"/>
                <w:sz w:val="24"/>
                <w:szCs w:val="24"/>
                <w:u w:val="none"/>
                <w:lang w:val="en-CA" w:eastAsia="en-CA"/>
              </w:rPr>
              <w:t>40</w:t>
            </w:r>
            <w:r w:rsidRPr="002A62E2">
              <w:rPr>
                <w:rFonts w:asciiTheme="minorHAnsi" w:eastAsia="Times New Roman" w:hAnsiTheme="minorHAnsi" w:cstheme="minorHAnsi"/>
                <w:b w:val="0"/>
                <w:bCs w:val="0"/>
                <w:sz w:val="24"/>
                <w:szCs w:val="24"/>
                <w:u w:val="none"/>
                <w:lang w:val="en-CA" w:eastAsia="en-CA"/>
              </w:rPr>
              <w:t>%</w:t>
            </w:r>
          </w:p>
          <w:p w14:paraId="1218DD34" w14:textId="6C2B7DF7" w:rsidR="002A62E2" w:rsidRPr="00B27998" w:rsidRDefault="002A62E2" w:rsidP="002A62E2">
            <w:pPr>
              <w:rPr>
                <w:rFonts w:asciiTheme="minorHAnsi" w:eastAsia="Times New Roman" w:hAnsiTheme="minorHAnsi" w:cstheme="minorHAnsi"/>
                <w:b w:val="0"/>
                <w:u w:val="none"/>
                <w:lang w:val="en-CA" w:eastAsia="en-CA"/>
              </w:rPr>
            </w:pPr>
          </w:p>
          <w:p w14:paraId="5B8C58A0" w14:textId="5551E2CF" w:rsidR="00D571F5" w:rsidRPr="00D571F5" w:rsidRDefault="00D571F5" w:rsidP="00E100A4">
            <w:pPr>
              <w:ind w:right="-64"/>
              <w:rPr>
                <w:rFonts w:asciiTheme="minorHAnsi" w:eastAsia="Times New Roman" w:hAnsiTheme="minorHAnsi" w:cstheme="minorHAnsi"/>
                <w:b w:val="0"/>
                <w:sz w:val="24"/>
                <w:szCs w:val="24"/>
                <w:u w:val="none"/>
                <w:lang w:val="en-CA" w:eastAsia="en-CA"/>
              </w:rPr>
            </w:pPr>
            <w:r w:rsidRPr="00C92BB5">
              <w:rPr>
                <w:rFonts w:asciiTheme="minorHAnsi" w:eastAsia="Times New Roman" w:hAnsiTheme="minorHAnsi" w:cstheme="minorHAnsi"/>
                <w:sz w:val="24"/>
                <w:szCs w:val="24"/>
                <w:u w:val="none"/>
                <w:lang w:val="en-CA" w:eastAsia="en-CA"/>
              </w:rPr>
              <w:t>Students must pass the final exam to receive a passing grade for the course.</w:t>
            </w:r>
            <w:r>
              <w:rPr>
                <w:rFonts w:asciiTheme="minorHAnsi" w:eastAsia="Times New Roman" w:hAnsiTheme="minorHAnsi" w:cstheme="minorHAnsi"/>
                <w:b w:val="0"/>
                <w:sz w:val="24"/>
                <w:szCs w:val="24"/>
                <w:u w:val="none"/>
                <w:lang w:val="en-CA" w:eastAsia="en-CA"/>
              </w:rPr>
              <w:t xml:space="preserve">  Ten percent of the total weightings for the course will be moved from the mid-term exam</w:t>
            </w:r>
            <w:r w:rsidR="00536931">
              <w:rPr>
                <w:rFonts w:asciiTheme="minorHAnsi" w:eastAsia="Times New Roman" w:hAnsiTheme="minorHAnsi" w:cstheme="minorHAnsi"/>
                <w:b w:val="0"/>
                <w:sz w:val="24"/>
                <w:szCs w:val="24"/>
                <w:u w:val="none"/>
                <w:lang w:val="en-CA" w:eastAsia="en-CA"/>
              </w:rPr>
              <w:t xml:space="preserve"> </w:t>
            </w:r>
            <w:r>
              <w:rPr>
                <w:rFonts w:asciiTheme="minorHAnsi" w:eastAsia="Times New Roman" w:hAnsiTheme="minorHAnsi" w:cstheme="minorHAnsi"/>
                <w:b w:val="0"/>
                <w:sz w:val="24"/>
                <w:szCs w:val="24"/>
                <w:u w:val="none"/>
                <w:lang w:val="en-CA" w:eastAsia="en-CA"/>
              </w:rPr>
              <w:t>to the final exam if it increases a student’s final grade.</w:t>
            </w:r>
          </w:p>
          <w:p w14:paraId="28F41C28" w14:textId="77777777" w:rsidR="009032F3" w:rsidRPr="00B27998" w:rsidRDefault="009032F3" w:rsidP="00C92BB5">
            <w:pPr>
              <w:rPr>
                <w:rFonts w:asciiTheme="minorHAnsi" w:eastAsia="Times New Roman" w:hAnsiTheme="minorHAnsi" w:cstheme="minorHAnsi"/>
                <w:u w:val="none"/>
                <w:lang w:val="en-CA" w:eastAsia="en-CA"/>
              </w:rPr>
            </w:pPr>
          </w:p>
          <w:p w14:paraId="518AEF4A" w14:textId="0FC2383C" w:rsidR="00C92BB5" w:rsidRDefault="00C92BB5" w:rsidP="00C92BB5">
            <w:pPr>
              <w:rPr>
                <w:rFonts w:asciiTheme="minorHAnsi" w:eastAsia="Times New Roman" w:hAnsiTheme="minorHAnsi" w:cstheme="minorHAnsi"/>
                <w:sz w:val="24"/>
                <w:szCs w:val="24"/>
                <w:u w:val="none"/>
                <w:lang w:val="en-CA" w:eastAsia="en-CA"/>
              </w:rPr>
            </w:pPr>
            <w:r>
              <w:rPr>
                <w:rFonts w:asciiTheme="minorHAnsi" w:eastAsia="Times New Roman" w:hAnsiTheme="minorHAnsi" w:cstheme="minorHAnsi"/>
                <w:sz w:val="24"/>
                <w:szCs w:val="24"/>
                <w:u w:val="none"/>
                <w:lang w:val="en-CA" w:eastAsia="en-CA"/>
              </w:rPr>
              <w:t>Quizzes</w:t>
            </w:r>
          </w:p>
          <w:p w14:paraId="5C88BC3B" w14:textId="77777777" w:rsidR="00C92BB5" w:rsidRDefault="00C92BB5" w:rsidP="00C92BB5">
            <w:pPr>
              <w:rPr>
                <w:rFonts w:asciiTheme="minorHAnsi" w:eastAsia="Times New Roman" w:hAnsiTheme="minorHAnsi" w:cstheme="minorHAnsi"/>
                <w:sz w:val="24"/>
                <w:szCs w:val="24"/>
                <w:u w:val="none"/>
                <w:lang w:val="en-CA" w:eastAsia="en-CA"/>
              </w:rPr>
            </w:pPr>
          </w:p>
          <w:p w14:paraId="57DB4214" w14:textId="0DC7CFD6" w:rsidR="00F66A9C" w:rsidRPr="00DC3DCA" w:rsidRDefault="00C92BB5" w:rsidP="00E100A4">
            <w:pPr>
              <w:ind w:right="-64"/>
              <w:rPr>
                <w:rFonts w:asciiTheme="minorHAnsi" w:eastAsia="Times New Roman" w:hAnsiTheme="minorHAnsi" w:cstheme="minorHAnsi"/>
                <w:b w:val="0"/>
                <w:bCs w:val="0"/>
                <w:color w:val="auto"/>
                <w:sz w:val="24"/>
                <w:szCs w:val="24"/>
                <w:u w:val="none"/>
                <w:lang w:val="en-CA" w:eastAsia="en-CA"/>
              </w:rPr>
            </w:pPr>
            <w:r w:rsidRPr="00DC3DCA">
              <w:rPr>
                <w:rFonts w:asciiTheme="minorHAnsi" w:eastAsia="Times New Roman" w:hAnsiTheme="minorHAnsi" w:cstheme="minorHAnsi"/>
                <w:b w:val="0"/>
                <w:bCs w:val="0"/>
                <w:color w:val="auto"/>
                <w:sz w:val="24"/>
                <w:szCs w:val="24"/>
                <w:u w:val="none"/>
                <w:lang w:val="en-CA" w:eastAsia="en-CA"/>
              </w:rPr>
              <w:t>Quizzes help ensure students are thoroughly familiar with the readings in each module. </w:t>
            </w:r>
            <w:r w:rsidR="00B27998" w:rsidRPr="00DC3DCA">
              <w:rPr>
                <w:rFonts w:asciiTheme="minorHAnsi" w:eastAsia="Times New Roman" w:hAnsiTheme="minorHAnsi" w:cstheme="minorHAnsi"/>
                <w:b w:val="0"/>
                <w:bCs w:val="0"/>
                <w:color w:val="auto"/>
                <w:sz w:val="24"/>
                <w:szCs w:val="24"/>
                <w:u w:val="none"/>
                <w:lang w:val="en-CA" w:eastAsia="en-CA"/>
              </w:rPr>
              <w:t xml:space="preserve"> </w:t>
            </w:r>
            <w:r w:rsidRPr="00DC3DCA">
              <w:rPr>
                <w:rFonts w:asciiTheme="minorHAnsi" w:eastAsia="Times New Roman" w:hAnsiTheme="minorHAnsi" w:cstheme="minorHAnsi"/>
                <w:b w:val="0"/>
                <w:bCs w:val="0"/>
                <w:color w:val="auto"/>
                <w:sz w:val="24"/>
                <w:szCs w:val="24"/>
                <w:u w:val="none"/>
                <w:lang w:val="en-CA" w:eastAsia="en-CA"/>
              </w:rPr>
              <w:t>The</w:t>
            </w:r>
            <w:r w:rsidR="007E1C53">
              <w:rPr>
                <w:rFonts w:asciiTheme="minorHAnsi" w:eastAsia="Times New Roman" w:hAnsiTheme="minorHAnsi" w:cstheme="minorHAnsi"/>
                <w:b w:val="0"/>
                <w:bCs w:val="0"/>
                <w:color w:val="auto"/>
                <w:sz w:val="24"/>
                <w:szCs w:val="24"/>
                <w:u w:val="none"/>
                <w:lang w:val="en-CA" w:eastAsia="en-CA"/>
              </w:rPr>
              <w:t>y</w:t>
            </w:r>
            <w:r w:rsidRPr="00DC3DCA">
              <w:rPr>
                <w:rFonts w:asciiTheme="minorHAnsi" w:eastAsia="Times New Roman" w:hAnsiTheme="minorHAnsi" w:cstheme="minorHAnsi"/>
                <w:b w:val="0"/>
                <w:bCs w:val="0"/>
                <w:color w:val="auto"/>
                <w:sz w:val="24"/>
                <w:szCs w:val="24"/>
                <w:u w:val="none"/>
                <w:lang w:val="en-CA" w:eastAsia="en-CA"/>
              </w:rPr>
              <w:t xml:space="preserve"> are </w:t>
            </w:r>
            <w:r w:rsidR="00A536DD" w:rsidRPr="00DC3DCA">
              <w:rPr>
                <w:rFonts w:asciiTheme="minorHAnsi" w:eastAsia="Times New Roman" w:hAnsiTheme="minorHAnsi" w:cstheme="minorHAnsi"/>
                <w:b w:val="0"/>
                <w:bCs w:val="0"/>
                <w:color w:val="auto"/>
                <w:sz w:val="24"/>
                <w:szCs w:val="24"/>
                <w:u w:val="none"/>
                <w:lang w:val="en-CA" w:eastAsia="en-CA"/>
              </w:rPr>
              <w:t>20</w:t>
            </w:r>
            <w:r w:rsidRPr="00DC3DCA">
              <w:rPr>
                <w:rFonts w:asciiTheme="minorHAnsi" w:eastAsia="Times New Roman" w:hAnsiTheme="minorHAnsi" w:cstheme="minorHAnsi"/>
                <w:b w:val="0"/>
                <w:bCs w:val="0"/>
                <w:color w:val="auto"/>
                <w:sz w:val="24"/>
                <w:szCs w:val="24"/>
                <w:u w:val="none"/>
                <w:lang w:val="en-CA" w:eastAsia="en-CA"/>
              </w:rPr>
              <w:t xml:space="preserve"> min</w:t>
            </w:r>
            <w:r w:rsidR="00B27998" w:rsidRPr="00DC3DCA">
              <w:rPr>
                <w:rFonts w:asciiTheme="minorHAnsi" w:eastAsia="Times New Roman" w:hAnsiTheme="minorHAnsi" w:cstheme="minorHAnsi"/>
                <w:b w:val="0"/>
                <w:bCs w:val="0"/>
                <w:color w:val="auto"/>
                <w:sz w:val="24"/>
                <w:szCs w:val="24"/>
                <w:u w:val="none"/>
                <w:lang w:val="en-CA" w:eastAsia="en-CA"/>
              </w:rPr>
              <w:t xml:space="preserve">utes </w:t>
            </w:r>
            <w:r w:rsidR="008B472F">
              <w:rPr>
                <w:rFonts w:asciiTheme="minorHAnsi" w:eastAsia="Times New Roman" w:hAnsiTheme="minorHAnsi" w:cstheme="minorHAnsi"/>
                <w:b w:val="0"/>
                <w:bCs w:val="0"/>
                <w:color w:val="auto"/>
                <w:sz w:val="24"/>
                <w:szCs w:val="24"/>
                <w:u w:val="none"/>
                <w:lang w:val="en-CA" w:eastAsia="en-CA"/>
              </w:rPr>
              <w:t xml:space="preserve">long with </w:t>
            </w:r>
            <w:r w:rsidRPr="00DC3DCA">
              <w:rPr>
                <w:rFonts w:asciiTheme="minorHAnsi" w:eastAsia="Times New Roman" w:hAnsiTheme="minorHAnsi" w:cstheme="minorHAnsi"/>
                <w:b w:val="0"/>
                <w:bCs w:val="0"/>
                <w:color w:val="auto"/>
                <w:sz w:val="24"/>
                <w:szCs w:val="24"/>
                <w:u w:val="none"/>
                <w:lang w:val="en-CA" w:eastAsia="en-CA"/>
              </w:rPr>
              <w:t>30 randomly selected true</w:t>
            </w:r>
            <w:r w:rsidR="009032F3" w:rsidRPr="00DC3DCA">
              <w:rPr>
                <w:rFonts w:asciiTheme="minorHAnsi" w:eastAsia="Times New Roman" w:hAnsiTheme="minorHAnsi" w:cstheme="minorHAnsi"/>
                <w:b w:val="0"/>
                <w:bCs w:val="0"/>
                <w:color w:val="auto"/>
                <w:sz w:val="24"/>
                <w:szCs w:val="24"/>
                <w:u w:val="none"/>
                <w:lang w:val="en-CA" w:eastAsia="en-CA"/>
              </w:rPr>
              <w:t>/</w:t>
            </w:r>
            <w:r w:rsidRPr="00DC3DCA">
              <w:rPr>
                <w:rFonts w:asciiTheme="minorHAnsi" w:eastAsia="Times New Roman" w:hAnsiTheme="minorHAnsi" w:cstheme="minorHAnsi"/>
                <w:b w:val="0"/>
                <w:bCs w:val="0"/>
                <w:color w:val="auto"/>
                <w:sz w:val="24"/>
                <w:szCs w:val="24"/>
                <w:u w:val="none"/>
                <w:lang w:val="en-CA" w:eastAsia="en-CA"/>
              </w:rPr>
              <w:t>false</w:t>
            </w:r>
            <w:r w:rsidR="00B27998" w:rsidRPr="00DC3DCA">
              <w:rPr>
                <w:rFonts w:asciiTheme="minorHAnsi" w:eastAsia="Times New Roman" w:hAnsiTheme="minorHAnsi" w:cstheme="minorHAnsi"/>
                <w:b w:val="0"/>
                <w:bCs w:val="0"/>
                <w:color w:val="auto"/>
                <w:sz w:val="24"/>
                <w:szCs w:val="24"/>
                <w:u w:val="none"/>
                <w:lang w:val="en-CA" w:eastAsia="en-CA"/>
              </w:rPr>
              <w:t xml:space="preserve"> or multiple-choice</w:t>
            </w:r>
            <w:r w:rsidR="00E100A4" w:rsidRPr="00DC3DCA">
              <w:rPr>
                <w:rFonts w:asciiTheme="minorHAnsi" w:eastAsia="Times New Roman" w:hAnsiTheme="minorHAnsi" w:cstheme="minorHAnsi"/>
                <w:b w:val="0"/>
                <w:bCs w:val="0"/>
                <w:color w:val="auto"/>
                <w:sz w:val="24"/>
                <w:szCs w:val="24"/>
                <w:u w:val="none"/>
                <w:lang w:val="en-CA" w:eastAsia="en-CA"/>
              </w:rPr>
              <w:t xml:space="preserve"> </w:t>
            </w:r>
            <w:r w:rsidR="00B27998" w:rsidRPr="00DC3DCA">
              <w:rPr>
                <w:rFonts w:asciiTheme="minorHAnsi" w:eastAsia="Times New Roman" w:hAnsiTheme="minorHAnsi" w:cstheme="minorHAnsi"/>
                <w:b w:val="0"/>
                <w:bCs w:val="0"/>
                <w:color w:val="auto"/>
                <w:sz w:val="24"/>
                <w:szCs w:val="24"/>
                <w:u w:val="none"/>
                <w:lang w:val="en-CA" w:eastAsia="en-CA"/>
              </w:rPr>
              <w:t>questions</w:t>
            </w:r>
            <w:r w:rsidRPr="00DC3DCA">
              <w:rPr>
                <w:rFonts w:asciiTheme="minorHAnsi" w:eastAsia="Times New Roman" w:hAnsiTheme="minorHAnsi" w:cstheme="minorHAnsi"/>
                <w:b w:val="0"/>
                <w:bCs w:val="0"/>
                <w:color w:val="auto"/>
                <w:sz w:val="24"/>
                <w:szCs w:val="24"/>
                <w:u w:val="none"/>
                <w:lang w:val="en-CA" w:eastAsia="en-CA"/>
              </w:rPr>
              <w:t xml:space="preserve">.  </w:t>
            </w:r>
            <w:r w:rsidR="008B472F">
              <w:rPr>
                <w:rFonts w:asciiTheme="minorHAnsi" w:eastAsia="Times New Roman" w:hAnsiTheme="minorHAnsi" w:cstheme="minorHAnsi"/>
                <w:b w:val="0"/>
                <w:color w:val="auto"/>
                <w:sz w:val="24"/>
                <w:szCs w:val="24"/>
                <w:u w:val="none"/>
                <w:lang w:val="en-CA" w:eastAsia="en-CA"/>
              </w:rPr>
              <w:t>Q</w:t>
            </w:r>
            <w:r w:rsidR="000F6BD1" w:rsidRPr="00DC3DCA">
              <w:rPr>
                <w:rFonts w:asciiTheme="minorHAnsi" w:hAnsiTheme="minorHAnsi" w:cstheme="minorHAnsi"/>
                <w:b w:val="0"/>
                <w:color w:val="auto"/>
                <w:sz w:val="24"/>
                <w:szCs w:val="24"/>
                <w:u w:val="none"/>
                <w:shd w:val="clear" w:color="auto" w:fill="FFFFFF"/>
              </w:rPr>
              <w:t>uizzes</w:t>
            </w:r>
            <w:r w:rsidR="00E100A4" w:rsidRPr="00DC3DCA">
              <w:rPr>
                <w:rFonts w:asciiTheme="minorHAnsi" w:hAnsiTheme="minorHAnsi" w:cstheme="minorHAnsi"/>
                <w:b w:val="0"/>
                <w:color w:val="auto"/>
                <w:sz w:val="24"/>
                <w:szCs w:val="24"/>
                <w:u w:val="none"/>
                <w:shd w:val="clear" w:color="auto" w:fill="FFFFFF"/>
              </w:rPr>
              <w:t xml:space="preserve"> cover the readings only and NOT the Learning Problems</w:t>
            </w:r>
            <w:r w:rsidR="008B472F">
              <w:rPr>
                <w:rFonts w:asciiTheme="minorHAnsi" w:hAnsiTheme="minorHAnsi" w:cstheme="minorHAnsi"/>
                <w:b w:val="0"/>
                <w:color w:val="auto"/>
                <w:sz w:val="24"/>
                <w:szCs w:val="24"/>
                <w:u w:val="none"/>
                <w:shd w:val="clear" w:color="auto" w:fill="FFFFFF"/>
              </w:rPr>
              <w:t>.  The problems</w:t>
            </w:r>
            <w:r w:rsidR="00E100A4" w:rsidRPr="00DC3DCA">
              <w:rPr>
                <w:rFonts w:asciiTheme="minorHAnsi" w:hAnsiTheme="minorHAnsi" w:cstheme="minorHAnsi"/>
                <w:b w:val="0"/>
                <w:color w:val="auto"/>
                <w:sz w:val="24"/>
                <w:szCs w:val="24"/>
                <w:u w:val="none"/>
                <w:shd w:val="clear" w:color="auto" w:fill="FFFFFF"/>
              </w:rPr>
              <w:t xml:space="preserve"> are tested on the Mid-term and Final </w:t>
            </w:r>
            <w:r w:rsidR="008B472F">
              <w:rPr>
                <w:rFonts w:asciiTheme="minorHAnsi" w:hAnsiTheme="minorHAnsi" w:cstheme="minorHAnsi"/>
                <w:b w:val="0"/>
                <w:color w:val="auto"/>
                <w:sz w:val="24"/>
                <w:szCs w:val="24"/>
                <w:u w:val="none"/>
                <w:shd w:val="clear" w:color="auto" w:fill="FFFFFF"/>
              </w:rPr>
              <w:lastRenderedPageBreak/>
              <w:t>E</w:t>
            </w:r>
            <w:r w:rsidR="00235352">
              <w:rPr>
                <w:rFonts w:asciiTheme="minorHAnsi" w:hAnsiTheme="minorHAnsi" w:cstheme="minorHAnsi"/>
                <w:b w:val="0"/>
                <w:color w:val="auto"/>
                <w:sz w:val="24"/>
                <w:szCs w:val="24"/>
                <w:u w:val="none"/>
                <w:shd w:val="clear" w:color="auto" w:fill="FFFFFF"/>
              </w:rPr>
              <w:t>xams</w:t>
            </w:r>
            <w:r w:rsidR="00E100A4" w:rsidRPr="00DC3DCA">
              <w:rPr>
                <w:rFonts w:asciiTheme="minorHAnsi" w:hAnsiTheme="minorHAnsi" w:cstheme="minorHAnsi"/>
                <w:b w:val="0"/>
                <w:color w:val="auto"/>
                <w:sz w:val="24"/>
                <w:szCs w:val="24"/>
                <w:u w:val="none"/>
                <w:shd w:val="clear" w:color="auto" w:fill="FFFFFF"/>
              </w:rPr>
              <w:t>.  Students should thoroughly study the Readings to prepare for the quiz. </w:t>
            </w:r>
            <w:r w:rsidRPr="00DC3DCA">
              <w:rPr>
                <w:rFonts w:asciiTheme="minorHAnsi" w:eastAsia="Times New Roman" w:hAnsiTheme="minorHAnsi" w:cstheme="minorHAnsi"/>
                <w:b w:val="0"/>
                <w:bCs w:val="0"/>
                <w:color w:val="auto"/>
                <w:sz w:val="24"/>
                <w:szCs w:val="24"/>
                <w:u w:val="none"/>
                <w:lang w:val="en-CA" w:eastAsia="en-CA"/>
              </w:rPr>
              <w:t xml:space="preserve">Each quiz is delivered online through Moodle.  Links to the quizzes are located in </w:t>
            </w:r>
            <w:r w:rsidR="00B27998" w:rsidRPr="00DC3DCA">
              <w:rPr>
                <w:rFonts w:asciiTheme="minorHAnsi" w:eastAsia="Times New Roman" w:hAnsiTheme="minorHAnsi" w:cstheme="minorHAnsi"/>
                <w:b w:val="0"/>
                <w:bCs w:val="0"/>
                <w:color w:val="auto"/>
                <w:sz w:val="24"/>
                <w:szCs w:val="24"/>
                <w:u w:val="none"/>
                <w:lang w:val="en-CA" w:eastAsia="en-CA"/>
              </w:rPr>
              <w:t xml:space="preserve">the </w:t>
            </w:r>
            <w:r w:rsidRPr="00DC3DCA">
              <w:rPr>
                <w:rFonts w:asciiTheme="minorHAnsi" w:eastAsia="Times New Roman" w:hAnsiTheme="minorHAnsi" w:cstheme="minorHAnsi"/>
                <w:b w:val="0"/>
                <w:bCs w:val="0"/>
                <w:color w:val="auto"/>
                <w:sz w:val="24"/>
                <w:szCs w:val="24"/>
                <w:u w:val="none"/>
                <w:lang w:val="en-CA" w:eastAsia="en-CA"/>
              </w:rPr>
              <w:t>Quizzes</w:t>
            </w:r>
            <w:r w:rsidR="00F66A9C" w:rsidRPr="00DC3DCA">
              <w:rPr>
                <w:rFonts w:asciiTheme="minorHAnsi" w:eastAsia="Times New Roman" w:hAnsiTheme="minorHAnsi" w:cstheme="minorHAnsi"/>
                <w:b w:val="0"/>
                <w:bCs w:val="0"/>
                <w:color w:val="auto"/>
                <w:sz w:val="24"/>
                <w:szCs w:val="24"/>
                <w:u w:val="none"/>
                <w:lang w:val="en-CA" w:eastAsia="en-CA"/>
              </w:rPr>
              <w:t xml:space="preserve"> section of the Moodle site</w:t>
            </w:r>
            <w:r w:rsidRPr="00DC3DCA">
              <w:rPr>
                <w:rFonts w:asciiTheme="minorHAnsi" w:eastAsia="Times New Roman" w:hAnsiTheme="minorHAnsi" w:cstheme="minorHAnsi"/>
                <w:b w:val="0"/>
                <w:bCs w:val="0"/>
                <w:color w:val="auto"/>
                <w:sz w:val="24"/>
                <w:szCs w:val="24"/>
                <w:u w:val="none"/>
                <w:lang w:val="en-CA" w:eastAsia="en-CA"/>
              </w:rPr>
              <w:t xml:space="preserve">.  </w:t>
            </w:r>
          </w:p>
          <w:p w14:paraId="6716D45F" w14:textId="77777777" w:rsidR="00F66A9C" w:rsidRDefault="00F66A9C" w:rsidP="00C92BB5">
            <w:pPr>
              <w:rPr>
                <w:rFonts w:asciiTheme="minorHAnsi" w:eastAsia="Times New Roman" w:hAnsiTheme="minorHAnsi" w:cstheme="minorHAnsi"/>
                <w:b w:val="0"/>
                <w:bCs w:val="0"/>
                <w:color w:val="auto"/>
                <w:sz w:val="24"/>
                <w:szCs w:val="24"/>
                <w:u w:val="none"/>
                <w:lang w:val="en-CA" w:eastAsia="en-CA"/>
              </w:rPr>
            </w:pPr>
          </w:p>
          <w:p w14:paraId="6C030ADB" w14:textId="7425F9D8" w:rsidR="00C92BB5" w:rsidRPr="00C92BB5" w:rsidRDefault="00C92BB5" w:rsidP="00C92BB5">
            <w:pPr>
              <w:rPr>
                <w:rFonts w:asciiTheme="minorHAnsi" w:eastAsia="Times New Roman" w:hAnsiTheme="minorHAnsi" w:cstheme="minorHAnsi"/>
                <w:b w:val="0"/>
                <w:bCs w:val="0"/>
                <w:color w:val="auto"/>
                <w:sz w:val="24"/>
                <w:szCs w:val="24"/>
                <w:u w:val="none"/>
                <w:lang w:val="en-CA" w:eastAsia="en-CA"/>
              </w:rPr>
            </w:pPr>
            <w:r w:rsidRPr="00C92BB5">
              <w:rPr>
                <w:rFonts w:asciiTheme="minorHAnsi" w:eastAsia="Times New Roman" w:hAnsiTheme="minorHAnsi" w:cstheme="minorHAnsi"/>
                <w:b w:val="0"/>
                <w:bCs w:val="0"/>
                <w:color w:val="auto"/>
                <w:sz w:val="24"/>
                <w:szCs w:val="24"/>
                <w:u w:val="none"/>
                <w:lang w:val="en-CA" w:eastAsia="en-CA"/>
              </w:rPr>
              <w:t xml:space="preserve">Students </w:t>
            </w:r>
            <w:r w:rsidR="006B0D08">
              <w:rPr>
                <w:rFonts w:asciiTheme="minorHAnsi" w:eastAsia="Times New Roman" w:hAnsiTheme="minorHAnsi" w:cstheme="minorHAnsi"/>
                <w:b w:val="0"/>
                <w:bCs w:val="0"/>
                <w:color w:val="auto"/>
                <w:sz w:val="24"/>
                <w:szCs w:val="24"/>
                <w:u w:val="none"/>
                <w:lang w:val="en-CA" w:eastAsia="en-CA"/>
              </w:rPr>
              <w:t xml:space="preserve">can </w:t>
            </w:r>
            <w:r w:rsidR="00F66A9C">
              <w:rPr>
                <w:rFonts w:asciiTheme="minorHAnsi" w:eastAsia="Times New Roman" w:hAnsiTheme="minorHAnsi" w:cstheme="minorHAnsi"/>
                <w:b w:val="0"/>
                <w:bCs w:val="0"/>
                <w:color w:val="auto"/>
                <w:sz w:val="24"/>
                <w:szCs w:val="24"/>
                <w:u w:val="none"/>
                <w:lang w:val="en-CA" w:eastAsia="en-CA"/>
              </w:rPr>
              <w:t xml:space="preserve">open </w:t>
            </w:r>
            <w:r w:rsidR="00B27998">
              <w:rPr>
                <w:rFonts w:asciiTheme="minorHAnsi" w:eastAsia="Times New Roman" w:hAnsiTheme="minorHAnsi" w:cstheme="minorHAnsi"/>
                <w:b w:val="0"/>
                <w:bCs w:val="0"/>
                <w:color w:val="auto"/>
                <w:sz w:val="24"/>
                <w:szCs w:val="24"/>
                <w:u w:val="none"/>
                <w:lang w:val="en-CA" w:eastAsia="en-CA"/>
              </w:rPr>
              <w:t>a</w:t>
            </w:r>
            <w:r w:rsidR="00F66A9C">
              <w:rPr>
                <w:rFonts w:asciiTheme="minorHAnsi" w:eastAsia="Times New Roman" w:hAnsiTheme="minorHAnsi" w:cstheme="minorHAnsi"/>
                <w:b w:val="0"/>
                <w:bCs w:val="0"/>
                <w:color w:val="auto"/>
                <w:sz w:val="24"/>
                <w:szCs w:val="24"/>
                <w:u w:val="none"/>
                <w:lang w:val="en-CA" w:eastAsia="en-CA"/>
              </w:rPr>
              <w:t xml:space="preserve"> quiz anytime between 6:00 AM and </w:t>
            </w:r>
            <w:r w:rsidR="009C403E">
              <w:rPr>
                <w:rFonts w:asciiTheme="minorHAnsi" w:eastAsia="Times New Roman" w:hAnsiTheme="minorHAnsi" w:cstheme="minorHAnsi"/>
                <w:b w:val="0"/>
                <w:bCs w:val="0"/>
                <w:color w:val="auto"/>
                <w:sz w:val="24"/>
                <w:szCs w:val="24"/>
                <w:u w:val="none"/>
                <w:lang w:val="en-CA" w:eastAsia="en-CA"/>
              </w:rPr>
              <w:t>11:59</w:t>
            </w:r>
            <w:r w:rsidR="00F66A9C">
              <w:rPr>
                <w:rFonts w:asciiTheme="minorHAnsi" w:eastAsia="Times New Roman" w:hAnsiTheme="minorHAnsi" w:cstheme="minorHAnsi"/>
                <w:b w:val="0"/>
                <w:bCs w:val="0"/>
                <w:color w:val="auto"/>
                <w:sz w:val="24"/>
                <w:szCs w:val="24"/>
                <w:u w:val="none"/>
                <w:lang w:val="en-CA" w:eastAsia="en-CA"/>
              </w:rPr>
              <w:t xml:space="preserve"> PM on </w:t>
            </w:r>
            <w:r w:rsidR="009032F3">
              <w:rPr>
                <w:rFonts w:asciiTheme="minorHAnsi" w:eastAsia="Times New Roman" w:hAnsiTheme="minorHAnsi" w:cstheme="minorHAnsi"/>
                <w:b w:val="0"/>
                <w:bCs w:val="0"/>
                <w:color w:val="auto"/>
                <w:sz w:val="24"/>
                <w:szCs w:val="24"/>
                <w:u w:val="none"/>
                <w:lang w:val="en-CA" w:eastAsia="en-CA"/>
              </w:rPr>
              <w:t xml:space="preserve">the </w:t>
            </w:r>
            <w:r w:rsidR="00F66A9C">
              <w:rPr>
                <w:rFonts w:asciiTheme="minorHAnsi" w:eastAsia="Times New Roman" w:hAnsiTheme="minorHAnsi" w:cstheme="minorHAnsi"/>
                <w:b w:val="0"/>
                <w:bCs w:val="0"/>
                <w:color w:val="auto"/>
                <w:sz w:val="24"/>
                <w:szCs w:val="24"/>
                <w:u w:val="none"/>
                <w:lang w:val="en-CA" w:eastAsia="en-CA"/>
              </w:rPr>
              <w:t>Fridays designated in the course outline</w:t>
            </w:r>
            <w:r w:rsidR="00497036">
              <w:rPr>
                <w:rFonts w:asciiTheme="minorHAnsi" w:eastAsia="Times New Roman" w:hAnsiTheme="minorHAnsi" w:cstheme="minorHAnsi"/>
                <w:b w:val="0"/>
                <w:bCs w:val="0"/>
                <w:color w:val="auto"/>
                <w:sz w:val="24"/>
                <w:szCs w:val="24"/>
                <w:u w:val="none"/>
                <w:lang w:val="en-CA" w:eastAsia="en-CA"/>
              </w:rPr>
              <w:t>,</w:t>
            </w:r>
            <w:r w:rsidR="00F66A9C">
              <w:rPr>
                <w:rFonts w:asciiTheme="minorHAnsi" w:eastAsia="Times New Roman" w:hAnsiTheme="minorHAnsi" w:cstheme="minorHAnsi"/>
                <w:b w:val="0"/>
                <w:bCs w:val="0"/>
                <w:color w:val="auto"/>
                <w:sz w:val="24"/>
                <w:szCs w:val="24"/>
                <w:u w:val="none"/>
                <w:lang w:val="en-CA" w:eastAsia="en-CA"/>
              </w:rPr>
              <w:t xml:space="preserve"> </w:t>
            </w:r>
            <w:r w:rsidRPr="00C92BB5">
              <w:rPr>
                <w:rFonts w:asciiTheme="minorHAnsi" w:eastAsia="Times New Roman" w:hAnsiTheme="minorHAnsi" w:cstheme="minorHAnsi"/>
                <w:b w:val="0"/>
                <w:bCs w:val="0"/>
                <w:color w:val="auto"/>
                <w:sz w:val="24"/>
                <w:szCs w:val="24"/>
                <w:u w:val="none"/>
                <w:lang w:val="en-CA" w:eastAsia="en-CA"/>
              </w:rPr>
              <w:t xml:space="preserve">and it will close automatically after </w:t>
            </w:r>
            <w:r w:rsidR="00A536DD">
              <w:rPr>
                <w:rFonts w:asciiTheme="minorHAnsi" w:eastAsia="Times New Roman" w:hAnsiTheme="minorHAnsi" w:cstheme="minorHAnsi"/>
                <w:b w:val="0"/>
                <w:bCs w:val="0"/>
                <w:color w:val="auto"/>
                <w:sz w:val="24"/>
                <w:szCs w:val="24"/>
                <w:u w:val="none"/>
                <w:lang w:val="en-CA" w:eastAsia="en-CA"/>
              </w:rPr>
              <w:t>20</w:t>
            </w:r>
            <w:r w:rsidRPr="00C92BB5">
              <w:rPr>
                <w:rFonts w:asciiTheme="minorHAnsi" w:eastAsia="Times New Roman" w:hAnsiTheme="minorHAnsi" w:cstheme="minorHAnsi"/>
                <w:b w:val="0"/>
                <w:bCs w:val="0"/>
                <w:color w:val="auto"/>
                <w:sz w:val="24"/>
                <w:szCs w:val="24"/>
                <w:u w:val="none"/>
                <w:lang w:val="en-CA" w:eastAsia="en-CA"/>
              </w:rPr>
              <w:t xml:space="preserve"> minutes.  </w:t>
            </w:r>
            <w:r w:rsidR="00F66A9C">
              <w:rPr>
                <w:rFonts w:asciiTheme="minorHAnsi" w:eastAsia="Times New Roman" w:hAnsiTheme="minorHAnsi" w:cstheme="minorHAnsi"/>
                <w:b w:val="0"/>
                <w:bCs w:val="0"/>
                <w:color w:val="auto"/>
                <w:sz w:val="24"/>
                <w:szCs w:val="24"/>
                <w:u w:val="none"/>
                <w:lang w:val="en-CA" w:eastAsia="en-CA"/>
              </w:rPr>
              <w:t xml:space="preserve">Once a question is answered, students </w:t>
            </w:r>
            <w:r w:rsidR="00DE277F">
              <w:rPr>
                <w:rFonts w:asciiTheme="minorHAnsi" w:eastAsia="Times New Roman" w:hAnsiTheme="minorHAnsi" w:cstheme="minorHAnsi"/>
                <w:b w:val="0"/>
                <w:bCs w:val="0"/>
                <w:color w:val="auto"/>
                <w:sz w:val="24"/>
                <w:szCs w:val="24"/>
                <w:u w:val="none"/>
                <w:lang w:val="en-CA" w:eastAsia="en-CA"/>
              </w:rPr>
              <w:t xml:space="preserve">cannot </w:t>
            </w:r>
            <w:r w:rsidR="00F66A9C">
              <w:rPr>
                <w:rFonts w:asciiTheme="minorHAnsi" w:eastAsia="Times New Roman" w:hAnsiTheme="minorHAnsi" w:cstheme="minorHAnsi"/>
                <w:b w:val="0"/>
                <w:bCs w:val="0"/>
                <w:color w:val="auto"/>
                <w:sz w:val="24"/>
                <w:szCs w:val="24"/>
                <w:u w:val="none"/>
                <w:lang w:val="en-CA" w:eastAsia="en-CA"/>
              </w:rPr>
              <w:t xml:space="preserve">change their </w:t>
            </w:r>
            <w:r w:rsidR="006B0D08">
              <w:rPr>
                <w:rFonts w:asciiTheme="minorHAnsi" w:eastAsia="Times New Roman" w:hAnsiTheme="minorHAnsi" w:cstheme="minorHAnsi"/>
                <w:b w:val="0"/>
                <w:bCs w:val="0"/>
                <w:color w:val="auto"/>
                <w:sz w:val="24"/>
                <w:szCs w:val="24"/>
                <w:u w:val="none"/>
                <w:lang w:val="en-CA" w:eastAsia="en-CA"/>
              </w:rPr>
              <w:t>response</w:t>
            </w:r>
            <w:r w:rsidR="008B472F">
              <w:rPr>
                <w:rFonts w:asciiTheme="minorHAnsi" w:eastAsia="Times New Roman" w:hAnsiTheme="minorHAnsi" w:cstheme="minorHAnsi"/>
                <w:b w:val="0"/>
                <w:bCs w:val="0"/>
                <w:color w:val="auto"/>
                <w:sz w:val="24"/>
                <w:szCs w:val="24"/>
                <w:u w:val="none"/>
                <w:lang w:val="en-CA" w:eastAsia="en-CA"/>
              </w:rPr>
              <w:t>s</w:t>
            </w:r>
            <w:r w:rsidR="00F66A9C">
              <w:rPr>
                <w:rFonts w:asciiTheme="minorHAnsi" w:eastAsia="Times New Roman" w:hAnsiTheme="minorHAnsi" w:cstheme="minorHAnsi"/>
                <w:b w:val="0"/>
                <w:bCs w:val="0"/>
                <w:color w:val="auto"/>
                <w:sz w:val="24"/>
                <w:szCs w:val="24"/>
                <w:u w:val="none"/>
                <w:lang w:val="en-CA" w:eastAsia="en-CA"/>
              </w:rPr>
              <w:t xml:space="preserve">.  </w:t>
            </w:r>
            <w:r w:rsidRPr="00C92BB5">
              <w:rPr>
                <w:rFonts w:asciiTheme="minorHAnsi" w:eastAsia="Times New Roman" w:hAnsiTheme="minorHAnsi" w:cstheme="minorHAnsi"/>
                <w:b w:val="0"/>
                <w:bCs w:val="0"/>
                <w:color w:val="auto"/>
                <w:sz w:val="24"/>
                <w:szCs w:val="24"/>
                <w:u w:val="none"/>
                <w:lang w:val="en-CA" w:eastAsia="en-CA"/>
              </w:rPr>
              <w:t>Quizzes are "closed book</w:t>
            </w:r>
            <w:r w:rsidR="00497036">
              <w:rPr>
                <w:rFonts w:asciiTheme="minorHAnsi" w:eastAsia="Times New Roman" w:hAnsiTheme="minorHAnsi" w:cstheme="minorHAnsi"/>
                <w:b w:val="0"/>
                <w:bCs w:val="0"/>
                <w:color w:val="auto"/>
                <w:sz w:val="24"/>
                <w:szCs w:val="24"/>
                <w:u w:val="none"/>
                <w:lang w:val="en-CA" w:eastAsia="en-CA"/>
              </w:rPr>
              <w:t>,</w:t>
            </w:r>
            <w:r w:rsidRPr="00C92BB5">
              <w:rPr>
                <w:rFonts w:asciiTheme="minorHAnsi" w:eastAsia="Times New Roman" w:hAnsiTheme="minorHAnsi" w:cstheme="minorHAnsi"/>
                <w:b w:val="0"/>
                <w:bCs w:val="0"/>
                <w:color w:val="auto"/>
                <w:sz w:val="24"/>
                <w:szCs w:val="24"/>
                <w:u w:val="none"/>
                <w:lang w:val="en-CA" w:eastAsia="en-CA"/>
              </w:rPr>
              <w:t>" mean</w:t>
            </w:r>
            <w:r w:rsidR="008B472F">
              <w:rPr>
                <w:rFonts w:asciiTheme="minorHAnsi" w:eastAsia="Times New Roman" w:hAnsiTheme="minorHAnsi" w:cstheme="minorHAnsi"/>
                <w:b w:val="0"/>
                <w:bCs w:val="0"/>
                <w:color w:val="auto"/>
                <w:sz w:val="24"/>
                <w:szCs w:val="24"/>
                <w:u w:val="none"/>
                <w:lang w:val="en-CA" w:eastAsia="en-CA"/>
              </w:rPr>
              <w:t>ing the</w:t>
            </w:r>
            <w:r w:rsidRPr="00C92BB5">
              <w:rPr>
                <w:rFonts w:asciiTheme="minorHAnsi" w:eastAsia="Times New Roman" w:hAnsiTheme="minorHAnsi" w:cstheme="minorHAnsi"/>
                <w:b w:val="0"/>
                <w:bCs w:val="0"/>
                <w:color w:val="auto"/>
                <w:sz w:val="24"/>
                <w:szCs w:val="24"/>
                <w:u w:val="none"/>
                <w:lang w:val="en-CA" w:eastAsia="en-CA"/>
              </w:rPr>
              <w:t xml:space="preserve"> course materials and other information cannot be referenced during the quiz.  Students must not receive</w:t>
            </w:r>
            <w:r w:rsidR="008B472F">
              <w:rPr>
                <w:rFonts w:asciiTheme="minorHAnsi" w:eastAsia="Times New Roman" w:hAnsiTheme="minorHAnsi" w:cstheme="minorHAnsi"/>
                <w:b w:val="0"/>
                <w:bCs w:val="0"/>
                <w:color w:val="auto"/>
                <w:sz w:val="24"/>
                <w:szCs w:val="24"/>
                <w:u w:val="none"/>
                <w:lang w:val="en-CA" w:eastAsia="en-CA"/>
              </w:rPr>
              <w:t xml:space="preserve"> </w:t>
            </w:r>
            <w:r w:rsidRPr="00C92BB5">
              <w:rPr>
                <w:rFonts w:asciiTheme="minorHAnsi" w:eastAsia="Times New Roman" w:hAnsiTheme="minorHAnsi" w:cstheme="minorHAnsi"/>
                <w:b w:val="0"/>
                <w:bCs w:val="0"/>
                <w:color w:val="auto"/>
                <w:sz w:val="24"/>
                <w:szCs w:val="24"/>
                <w:u w:val="none"/>
                <w:lang w:val="en-CA" w:eastAsia="en-CA"/>
              </w:rPr>
              <w:t>assistance from classmates or other</w:t>
            </w:r>
            <w:r w:rsidR="008B472F">
              <w:rPr>
                <w:rFonts w:asciiTheme="minorHAnsi" w:eastAsia="Times New Roman" w:hAnsiTheme="minorHAnsi" w:cstheme="minorHAnsi"/>
                <w:b w:val="0"/>
                <w:bCs w:val="0"/>
                <w:color w:val="auto"/>
                <w:sz w:val="24"/>
                <w:szCs w:val="24"/>
                <w:u w:val="none"/>
                <w:lang w:val="en-CA" w:eastAsia="en-CA"/>
              </w:rPr>
              <w:t>s</w:t>
            </w:r>
            <w:r w:rsidRPr="00C92BB5">
              <w:rPr>
                <w:rFonts w:asciiTheme="minorHAnsi" w:eastAsia="Times New Roman" w:hAnsiTheme="minorHAnsi" w:cstheme="minorHAnsi"/>
                <w:b w:val="0"/>
                <w:bCs w:val="0"/>
                <w:color w:val="auto"/>
                <w:sz w:val="24"/>
                <w:szCs w:val="24"/>
                <w:u w:val="none"/>
                <w:lang w:val="en-CA" w:eastAsia="en-CA"/>
              </w:rPr>
              <w:t xml:space="preserve"> while taking the quiz.</w:t>
            </w:r>
            <w:r w:rsidR="006B0D08">
              <w:rPr>
                <w:rFonts w:asciiTheme="minorHAnsi" w:eastAsia="Times New Roman" w:hAnsiTheme="minorHAnsi" w:cstheme="minorHAnsi"/>
                <w:b w:val="0"/>
                <w:bCs w:val="0"/>
                <w:color w:val="auto"/>
                <w:sz w:val="24"/>
                <w:szCs w:val="24"/>
                <w:u w:val="none"/>
                <w:lang w:val="en-CA" w:eastAsia="en-CA"/>
              </w:rPr>
              <w:t xml:space="preserve">  If a student misses a quiz, they </w:t>
            </w:r>
            <w:r w:rsidR="007E1C53">
              <w:rPr>
                <w:rFonts w:asciiTheme="minorHAnsi" w:eastAsia="Times New Roman" w:hAnsiTheme="minorHAnsi" w:cstheme="minorHAnsi"/>
                <w:b w:val="0"/>
                <w:bCs w:val="0"/>
                <w:color w:val="auto"/>
                <w:sz w:val="24"/>
                <w:szCs w:val="24"/>
                <w:u w:val="none"/>
                <w:lang w:val="en-CA" w:eastAsia="en-CA"/>
              </w:rPr>
              <w:t>cannot</w:t>
            </w:r>
            <w:r w:rsidR="006B0D08">
              <w:rPr>
                <w:rFonts w:asciiTheme="minorHAnsi" w:eastAsia="Times New Roman" w:hAnsiTheme="minorHAnsi" w:cstheme="minorHAnsi"/>
                <w:b w:val="0"/>
                <w:bCs w:val="0"/>
                <w:color w:val="auto"/>
                <w:sz w:val="24"/>
                <w:szCs w:val="24"/>
                <w:u w:val="none"/>
                <w:lang w:val="en-CA" w:eastAsia="en-CA"/>
              </w:rPr>
              <w:t xml:space="preserve"> take a re-test</w:t>
            </w:r>
            <w:r w:rsidR="009032F3">
              <w:rPr>
                <w:rFonts w:asciiTheme="minorHAnsi" w:eastAsia="Times New Roman" w:hAnsiTheme="minorHAnsi" w:cstheme="minorHAnsi"/>
                <w:b w:val="0"/>
                <w:bCs w:val="0"/>
                <w:color w:val="auto"/>
                <w:sz w:val="24"/>
                <w:szCs w:val="24"/>
                <w:u w:val="none"/>
                <w:lang w:val="en-CA" w:eastAsia="en-CA"/>
              </w:rPr>
              <w:t xml:space="preserve"> and </w:t>
            </w:r>
            <w:r w:rsidR="00A536DD">
              <w:rPr>
                <w:rFonts w:asciiTheme="minorHAnsi" w:eastAsia="Times New Roman" w:hAnsiTheme="minorHAnsi" w:cstheme="minorHAnsi"/>
                <w:b w:val="0"/>
                <w:bCs w:val="0"/>
                <w:color w:val="auto"/>
                <w:sz w:val="24"/>
                <w:szCs w:val="24"/>
                <w:u w:val="none"/>
                <w:lang w:val="en-CA" w:eastAsia="en-CA"/>
              </w:rPr>
              <w:t xml:space="preserve">will </w:t>
            </w:r>
            <w:r w:rsidR="009032F3">
              <w:rPr>
                <w:rFonts w:asciiTheme="minorHAnsi" w:eastAsia="Times New Roman" w:hAnsiTheme="minorHAnsi" w:cstheme="minorHAnsi"/>
                <w:b w:val="0"/>
                <w:bCs w:val="0"/>
                <w:color w:val="auto"/>
                <w:sz w:val="24"/>
                <w:szCs w:val="24"/>
                <w:u w:val="none"/>
                <w:lang w:val="en-CA" w:eastAsia="en-CA"/>
              </w:rPr>
              <w:t>receive a grade of zero.</w:t>
            </w:r>
          </w:p>
          <w:p w14:paraId="560F2698" w14:textId="77777777" w:rsidR="00C92BB5" w:rsidRDefault="00C92BB5" w:rsidP="00C92BB5">
            <w:pPr>
              <w:rPr>
                <w:rFonts w:asciiTheme="minorHAnsi" w:eastAsia="Times New Roman" w:hAnsiTheme="minorHAnsi" w:cstheme="minorHAnsi"/>
                <w:sz w:val="24"/>
                <w:szCs w:val="24"/>
                <w:u w:val="none"/>
                <w:lang w:val="en-CA" w:eastAsia="en-CA"/>
              </w:rPr>
            </w:pPr>
          </w:p>
          <w:p w14:paraId="54704CFF" w14:textId="57F11067" w:rsidR="002A62E2" w:rsidRPr="002A62E2" w:rsidRDefault="002A62E2" w:rsidP="00C92BB5">
            <w:pPr>
              <w:rPr>
                <w:rFonts w:asciiTheme="minorHAnsi" w:eastAsia="Times New Roman" w:hAnsiTheme="minorHAnsi" w:cstheme="minorHAnsi"/>
                <w:sz w:val="24"/>
                <w:szCs w:val="24"/>
                <w:u w:val="none"/>
                <w:lang w:val="en-CA" w:eastAsia="en-CA"/>
              </w:rPr>
            </w:pPr>
            <w:r w:rsidRPr="002A62E2">
              <w:rPr>
                <w:rFonts w:asciiTheme="minorHAnsi" w:eastAsia="Times New Roman" w:hAnsiTheme="minorHAnsi" w:cstheme="minorHAnsi"/>
                <w:sz w:val="24"/>
                <w:szCs w:val="24"/>
                <w:u w:val="none"/>
                <w:lang w:val="en-CA" w:eastAsia="en-CA"/>
              </w:rPr>
              <w:t>Case Studies</w:t>
            </w:r>
          </w:p>
          <w:p w14:paraId="51AAA438" w14:textId="77777777" w:rsidR="002A62E2" w:rsidRDefault="002A62E2" w:rsidP="002A62E2">
            <w:pPr>
              <w:rPr>
                <w:rFonts w:asciiTheme="minorHAnsi" w:eastAsia="Times New Roman" w:hAnsiTheme="minorHAnsi" w:cstheme="minorHAnsi"/>
                <w:b w:val="0"/>
                <w:bCs w:val="0"/>
                <w:sz w:val="24"/>
                <w:szCs w:val="24"/>
                <w:u w:val="none"/>
                <w:lang w:val="en-CA" w:eastAsia="en-CA"/>
              </w:rPr>
            </w:pPr>
          </w:p>
          <w:p w14:paraId="7C0B36B1" w14:textId="7FEEB1E7" w:rsidR="002A62E2" w:rsidRDefault="002A62E2" w:rsidP="00500D1B">
            <w:pPr>
              <w:ind w:left="330"/>
              <w:rPr>
                <w:rFonts w:asciiTheme="minorHAnsi" w:eastAsia="Times New Roman" w:hAnsiTheme="minorHAnsi" w:cstheme="minorHAnsi"/>
                <w:b w:val="0"/>
                <w:bCs w:val="0"/>
                <w:sz w:val="24"/>
                <w:szCs w:val="24"/>
                <w:u w:val="none"/>
                <w:lang w:val="en-CA" w:eastAsia="en-CA"/>
              </w:rPr>
            </w:pPr>
            <w:r w:rsidRPr="002A62E2">
              <w:rPr>
                <w:rFonts w:asciiTheme="minorHAnsi" w:eastAsia="Times New Roman" w:hAnsiTheme="minorHAnsi" w:cstheme="minorHAnsi"/>
                <w:b w:val="0"/>
                <w:bCs w:val="0"/>
                <w:sz w:val="24"/>
                <w:szCs w:val="24"/>
                <w:u w:val="none"/>
                <w:lang w:val="en-CA" w:eastAsia="en-CA"/>
              </w:rPr>
              <w:t xml:space="preserve">Case 1:  </w:t>
            </w:r>
            <w:r w:rsidR="00846714">
              <w:rPr>
                <w:rFonts w:asciiTheme="minorHAnsi" w:eastAsia="Times New Roman" w:hAnsiTheme="minorHAnsi" w:cstheme="minorHAnsi"/>
                <w:b w:val="0"/>
                <w:bCs w:val="0"/>
                <w:sz w:val="24"/>
                <w:szCs w:val="24"/>
                <w:u w:val="none"/>
                <w:lang w:val="en-CA" w:eastAsia="en-CA"/>
              </w:rPr>
              <w:t xml:space="preserve">Proforma </w:t>
            </w:r>
            <w:r w:rsidR="003165EC">
              <w:rPr>
                <w:rFonts w:asciiTheme="minorHAnsi" w:eastAsia="Times New Roman" w:hAnsiTheme="minorHAnsi" w:cstheme="minorHAnsi"/>
                <w:b w:val="0"/>
                <w:bCs w:val="0"/>
                <w:sz w:val="24"/>
                <w:szCs w:val="24"/>
                <w:u w:val="none"/>
                <w:lang w:val="en-CA" w:eastAsia="en-CA"/>
              </w:rPr>
              <w:t>f</w:t>
            </w:r>
            <w:r w:rsidR="00846714">
              <w:rPr>
                <w:rFonts w:asciiTheme="minorHAnsi" w:eastAsia="Times New Roman" w:hAnsiTheme="minorHAnsi" w:cstheme="minorHAnsi"/>
                <w:b w:val="0"/>
                <w:bCs w:val="0"/>
                <w:sz w:val="24"/>
                <w:szCs w:val="24"/>
                <w:u w:val="none"/>
                <w:lang w:val="en-CA" w:eastAsia="en-CA"/>
              </w:rPr>
              <w:t xml:space="preserve">inancial </w:t>
            </w:r>
            <w:r w:rsidR="003165EC">
              <w:rPr>
                <w:rFonts w:asciiTheme="minorHAnsi" w:eastAsia="Times New Roman" w:hAnsiTheme="minorHAnsi" w:cstheme="minorHAnsi"/>
                <w:b w:val="0"/>
                <w:bCs w:val="0"/>
                <w:sz w:val="24"/>
                <w:szCs w:val="24"/>
                <w:u w:val="none"/>
                <w:lang w:val="en-CA" w:eastAsia="en-CA"/>
              </w:rPr>
              <w:t>s</w:t>
            </w:r>
            <w:r w:rsidR="00846714">
              <w:rPr>
                <w:rFonts w:asciiTheme="minorHAnsi" w:eastAsia="Times New Roman" w:hAnsiTheme="minorHAnsi" w:cstheme="minorHAnsi"/>
                <w:b w:val="0"/>
                <w:bCs w:val="0"/>
                <w:sz w:val="24"/>
                <w:szCs w:val="24"/>
                <w:u w:val="none"/>
                <w:lang w:val="en-CA" w:eastAsia="en-CA"/>
              </w:rPr>
              <w:t>tatements</w:t>
            </w:r>
          </w:p>
          <w:p w14:paraId="741875C9" w14:textId="1891FF29" w:rsidR="000F6BD1" w:rsidRPr="002A62E2" w:rsidRDefault="000F6BD1" w:rsidP="002A62E2">
            <w:pPr>
              <w:ind w:left="330"/>
              <w:rPr>
                <w:rFonts w:asciiTheme="minorHAnsi" w:eastAsia="Times New Roman" w:hAnsiTheme="minorHAnsi" w:cstheme="minorHAnsi"/>
                <w:b w:val="0"/>
                <w:bCs w:val="0"/>
                <w:sz w:val="24"/>
                <w:szCs w:val="24"/>
                <w:u w:val="none"/>
                <w:lang w:val="en-CA" w:eastAsia="en-CA"/>
              </w:rPr>
            </w:pPr>
            <w:r>
              <w:rPr>
                <w:rFonts w:asciiTheme="minorHAnsi" w:eastAsia="Times New Roman" w:hAnsiTheme="minorHAnsi" w:cstheme="minorHAnsi"/>
                <w:b w:val="0"/>
                <w:bCs w:val="0"/>
                <w:sz w:val="24"/>
                <w:szCs w:val="24"/>
                <w:u w:val="none"/>
                <w:lang w:val="en-CA" w:eastAsia="en-CA"/>
              </w:rPr>
              <w:t xml:space="preserve">Case </w:t>
            </w:r>
            <w:r w:rsidR="00500D1B">
              <w:rPr>
                <w:rFonts w:asciiTheme="minorHAnsi" w:eastAsia="Times New Roman" w:hAnsiTheme="minorHAnsi" w:cstheme="minorHAnsi"/>
                <w:b w:val="0"/>
                <w:bCs w:val="0"/>
                <w:sz w:val="24"/>
                <w:szCs w:val="24"/>
                <w:u w:val="none"/>
                <w:lang w:val="en-CA" w:eastAsia="en-CA"/>
              </w:rPr>
              <w:t>2</w:t>
            </w:r>
            <w:r>
              <w:rPr>
                <w:rFonts w:asciiTheme="minorHAnsi" w:eastAsia="Times New Roman" w:hAnsiTheme="minorHAnsi" w:cstheme="minorHAnsi"/>
                <w:b w:val="0"/>
                <w:bCs w:val="0"/>
                <w:sz w:val="24"/>
                <w:szCs w:val="24"/>
                <w:u w:val="none"/>
                <w:lang w:val="en-CA" w:eastAsia="en-CA"/>
              </w:rPr>
              <w:t>:</w:t>
            </w:r>
            <w:r w:rsidR="007B4579">
              <w:rPr>
                <w:rFonts w:asciiTheme="minorHAnsi" w:eastAsia="Times New Roman" w:hAnsiTheme="minorHAnsi" w:cstheme="minorHAnsi"/>
                <w:b w:val="0"/>
                <w:bCs w:val="0"/>
                <w:sz w:val="24"/>
                <w:szCs w:val="24"/>
                <w:u w:val="none"/>
                <w:lang w:val="en-CA" w:eastAsia="en-CA"/>
              </w:rPr>
              <w:t xml:space="preserve">  Capital budgeting</w:t>
            </w:r>
          </w:p>
          <w:p w14:paraId="0E7B8D58" w14:textId="77777777" w:rsidR="002A62E2" w:rsidRDefault="002A62E2" w:rsidP="002A62E2">
            <w:pPr>
              <w:shd w:val="clear" w:color="auto" w:fill="FFFFFF"/>
              <w:rPr>
                <w:rFonts w:asciiTheme="minorHAnsi" w:eastAsia="Times New Roman" w:hAnsiTheme="minorHAnsi" w:cstheme="minorHAnsi"/>
                <w:b w:val="0"/>
                <w:bCs w:val="0"/>
                <w:color w:val="495057"/>
                <w:sz w:val="24"/>
                <w:szCs w:val="24"/>
                <w:u w:val="none"/>
                <w:lang w:val="en-CA" w:eastAsia="en-CA"/>
              </w:rPr>
            </w:pPr>
          </w:p>
          <w:p w14:paraId="553E2434" w14:textId="261A2240"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r w:rsidRPr="000F6D22">
              <w:rPr>
                <w:rFonts w:asciiTheme="minorHAnsi" w:eastAsia="Times New Roman" w:hAnsiTheme="minorHAnsi" w:cstheme="minorHAnsi"/>
                <w:b w:val="0"/>
                <w:bCs w:val="0"/>
                <w:color w:val="auto"/>
                <w:sz w:val="24"/>
                <w:szCs w:val="24"/>
                <w:u w:val="none"/>
                <w:lang w:val="en-CA" w:eastAsia="en-CA"/>
              </w:rPr>
              <w:t>Cases are completed in groups of two students. </w:t>
            </w:r>
            <w:r w:rsidR="00B27998"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They are distributed through Moodle</w:t>
            </w:r>
            <w:r w:rsidR="00497036">
              <w:rPr>
                <w:rFonts w:asciiTheme="minorHAnsi" w:eastAsia="Times New Roman" w:hAnsiTheme="minorHAnsi" w:cstheme="minorHAnsi"/>
                <w:b w:val="0"/>
                <w:bCs w:val="0"/>
                <w:color w:val="auto"/>
                <w:sz w:val="24"/>
                <w:szCs w:val="24"/>
                <w:u w:val="none"/>
                <w:lang w:val="en-CA" w:eastAsia="en-CA"/>
              </w:rPr>
              <w:t>,</w:t>
            </w:r>
            <w:r w:rsidRPr="000F6D22">
              <w:rPr>
                <w:rFonts w:asciiTheme="minorHAnsi" w:eastAsia="Times New Roman" w:hAnsiTheme="minorHAnsi" w:cstheme="minorHAnsi"/>
                <w:b w:val="0"/>
                <w:bCs w:val="0"/>
                <w:color w:val="auto"/>
                <w:sz w:val="24"/>
                <w:szCs w:val="24"/>
                <w:u w:val="none"/>
                <w:lang w:val="en-CA" w:eastAsia="en-CA"/>
              </w:rPr>
              <w:t xml:space="preserve"> and responses are submitted using a Moodle drop</w:t>
            </w:r>
            <w:r w:rsidR="000F6F1A"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 xml:space="preserve">box.  A grade of zero will be </w:t>
            </w:r>
            <w:r w:rsidR="00B27998" w:rsidRPr="000F6D22">
              <w:rPr>
                <w:rFonts w:asciiTheme="minorHAnsi" w:eastAsia="Times New Roman" w:hAnsiTheme="minorHAnsi" w:cstheme="minorHAnsi"/>
                <w:b w:val="0"/>
                <w:bCs w:val="0"/>
                <w:color w:val="auto"/>
                <w:sz w:val="24"/>
                <w:szCs w:val="24"/>
                <w:u w:val="none"/>
                <w:lang w:val="en-CA" w:eastAsia="en-CA"/>
              </w:rPr>
              <w:t xml:space="preserve">awarded </w:t>
            </w:r>
            <w:r w:rsidRPr="000F6D22">
              <w:rPr>
                <w:rFonts w:asciiTheme="minorHAnsi" w:eastAsia="Times New Roman" w:hAnsiTheme="minorHAnsi" w:cstheme="minorHAnsi"/>
                <w:b w:val="0"/>
                <w:bCs w:val="0"/>
                <w:color w:val="auto"/>
                <w:sz w:val="24"/>
                <w:szCs w:val="24"/>
                <w:u w:val="none"/>
                <w:lang w:val="en-CA" w:eastAsia="en-CA"/>
              </w:rPr>
              <w:t>for late submissions unless permission is received in advance from the instructor.</w:t>
            </w:r>
            <w:r w:rsidR="00B27998"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Student instructions are provided for each case. </w:t>
            </w:r>
            <w:r w:rsidR="00A536DD" w:rsidRPr="000F6D22">
              <w:rPr>
                <w:rFonts w:asciiTheme="minorHAnsi" w:eastAsia="Times New Roman" w:hAnsiTheme="minorHAnsi" w:cstheme="minorHAnsi"/>
                <w:b w:val="0"/>
                <w:bCs w:val="0"/>
                <w:color w:val="auto"/>
                <w:sz w:val="24"/>
                <w:szCs w:val="24"/>
                <w:u w:val="none"/>
                <w:lang w:val="en-CA" w:eastAsia="en-CA"/>
              </w:rPr>
              <w:t>E</w:t>
            </w:r>
            <w:r w:rsidRPr="000F6D22">
              <w:rPr>
                <w:rFonts w:asciiTheme="minorHAnsi" w:eastAsia="Times New Roman" w:hAnsiTheme="minorHAnsi" w:cstheme="minorHAnsi"/>
                <w:b w:val="0"/>
                <w:bCs w:val="0"/>
                <w:color w:val="auto"/>
                <w:sz w:val="24"/>
                <w:szCs w:val="24"/>
                <w:u w:val="none"/>
                <w:lang w:val="en-CA" w:eastAsia="en-CA"/>
              </w:rPr>
              <w:t xml:space="preserve">ach group member is expected to </w:t>
            </w:r>
            <w:r w:rsidR="008B472F">
              <w:rPr>
                <w:rFonts w:asciiTheme="minorHAnsi" w:eastAsia="Times New Roman" w:hAnsiTheme="minorHAnsi" w:cstheme="minorHAnsi"/>
                <w:b w:val="0"/>
                <w:bCs w:val="0"/>
                <w:color w:val="auto"/>
                <w:sz w:val="24"/>
                <w:szCs w:val="24"/>
                <w:u w:val="none"/>
                <w:lang w:val="en-CA" w:eastAsia="en-CA"/>
              </w:rPr>
              <w:t>contribute equally</w:t>
            </w:r>
            <w:r w:rsidRPr="000F6D22">
              <w:rPr>
                <w:rFonts w:asciiTheme="minorHAnsi" w:eastAsia="Times New Roman" w:hAnsiTheme="minorHAnsi" w:cstheme="minorHAnsi"/>
                <w:b w:val="0"/>
                <w:bCs w:val="0"/>
                <w:color w:val="auto"/>
                <w:sz w:val="24"/>
                <w:szCs w:val="24"/>
                <w:u w:val="none"/>
                <w:lang w:val="en-CA" w:eastAsia="en-CA"/>
              </w:rPr>
              <w:t xml:space="preserve"> to the preparation of the joint submission.  A group member who feels their partner is not making an equal contribution should discuss it with them</w:t>
            </w:r>
            <w:r w:rsidR="000A4C4E" w:rsidRPr="000F6D22">
              <w:rPr>
                <w:rFonts w:asciiTheme="minorHAnsi" w:eastAsia="Times New Roman" w:hAnsiTheme="minorHAnsi" w:cstheme="minorHAnsi"/>
                <w:b w:val="0"/>
                <w:bCs w:val="0"/>
                <w:color w:val="auto"/>
                <w:sz w:val="24"/>
                <w:szCs w:val="24"/>
                <w:u w:val="none"/>
                <w:lang w:val="en-CA" w:eastAsia="en-CA"/>
              </w:rPr>
              <w:t xml:space="preserve"> first</w:t>
            </w:r>
            <w:r w:rsidRPr="000F6D22">
              <w:rPr>
                <w:rFonts w:asciiTheme="minorHAnsi" w:eastAsia="Times New Roman" w:hAnsiTheme="minorHAnsi" w:cstheme="minorHAnsi"/>
                <w:b w:val="0"/>
                <w:bCs w:val="0"/>
                <w:color w:val="auto"/>
                <w:sz w:val="24"/>
                <w:szCs w:val="24"/>
                <w:u w:val="none"/>
                <w:lang w:val="en-CA" w:eastAsia="en-CA"/>
              </w:rPr>
              <w:t>. </w:t>
            </w:r>
            <w:r w:rsidR="00B27998"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If the problem is not rectified, they should contact the instructor</w:t>
            </w:r>
            <w:r w:rsidR="00497036">
              <w:rPr>
                <w:rFonts w:asciiTheme="minorHAnsi" w:eastAsia="Times New Roman" w:hAnsiTheme="minorHAnsi" w:cstheme="minorHAnsi"/>
                <w:b w:val="0"/>
                <w:bCs w:val="0"/>
                <w:color w:val="auto"/>
                <w:sz w:val="24"/>
                <w:szCs w:val="24"/>
                <w:u w:val="none"/>
                <w:lang w:val="en-CA" w:eastAsia="en-CA"/>
              </w:rPr>
              <w:t>, who will take appropriate action,</w:t>
            </w:r>
            <w:r w:rsidRPr="000F6D22">
              <w:rPr>
                <w:rFonts w:asciiTheme="minorHAnsi" w:eastAsia="Times New Roman" w:hAnsiTheme="minorHAnsi" w:cstheme="minorHAnsi"/>
                <w:b w:val="0"/>
                <w:bCs w:val="0"/>
                <w:color w:val="auto"/>
                <w:sz w:val="24"/>
                <w:szCs w:val="24"/>
                <w:u w:val="none"/>
                <w:lang w:val="en-CA" w:eastAsia="en-CA"/>
              </w:rPr>
              <w:t xml:space="preserve"> including assigning that person a grade of zero for the case. </w:t>
            </w:r>
          </w:p>
          <w:p w14:paraId="64C11CE3" w14:textId="77777777"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p>
          <w:p w14:paraId="4BFFBB20" w14:textId="29EF84A9" w:rsidR="002A62E2" w:rsidRPr="000F6D22" w:rsidRDefault="002A62E2" w:rsidP="002A62E2">
            <w:pPr>
              <w:shd w:val="clear" w:color="auto" w:fill="FFFFFF"/>
              <w:rPr>
                <w:rFonts w:asciiTheme="minorHAnsi" w:eastAsia="Times New Roman" w:hAnsiTheme="minorHAnsi" w:cstheme="minorHAnsi"/>
                <w:color w:val="auto"/>
                <w:sz w:val="24"/>
                <w:szCs w:val="24"/>
                <w:u w:val="none"/>
                <w:lang w:val="en-CA" w:eastAsia="en-CA"/>
              </w:rPr>
            </w:pPr>
            <w:r w:rsidRPr="000F6D22">
              <w:rPr>
                <w:rFonts w:asciiTheme="minorHAnsi" w:eastAsia="Times New Roman" w:hAnsiTheme="minorHAnsi" w:cstheme="minorHAnsi"/>
                <w:color w:val="auto"/>
                <w:sz w:val="24"/>
                <w:szCs w:val="24"/>
                <w:u w:val="none"/>
                <w:lang w:val="en-CA" w:eastAsia="en-CA"/>
              </w:rPr>
              <w:t>Mid-term Exam</w:t>
            </w:r>
          </w:p>
          <w:p w14:paraId="02D0F354" w14:textId="77777777"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p>
          <w:p w14:paraId="1050E334" w14:textId="3DCD7816"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val="en-CA" w:eastAsia="en-CA"/>
              </w:rPr>
            </w:pPr>
            <w:r w:rsidRPr="000F6D22">
              <w:rPr>
                <w:rFonts w:asciiTheme="minorHAnsi" w:eastAsia="Times New Roman" w:hAnsiTheme="minorHAnsi" w:cstheme="minorHAnsi"/>
                <w:b w:val="0"/>
                <w:bCs w:val="0"/>
                <w:color w:val="auto"/>
                <w:sz w:val="24"/>
                <w:szCs w:val="24"/>
                <w:u w:val="none"/>
                <w:lang w:val="en-CA" w:eastAsia="en-CA"/>
              </w:rPr>
              <w:t>A </w:t>
            </w:r>
            <w:r w:rsidRPr="000F6D22">
              <w:rPr>
                <w:rFonts w:asciiTheme="minorHAnsi" w:eastAsia="Times New Roman" w:hAnsiTheme="minorHAnsi" w:cstheme="minorHAnsi"/>
                <w:b w:val="0"/>
                <w:bCs w:val="0"/>
                <w:color w:val="auto"/>
                <w:sz w:val="24"/>
                <w:szCs w:val="24"/>
                <w:u w:val="none"/>
                <w:lang w:eastAsia="en-CA"/>
              </w:rPr>
              <w:t>75-minute mid-term exam is scheduled during regular class time</w:t>
            </w:r>
            <w:r w:rsidR="00E779AC" w:rsidRPr="000F6D22">
              <w:rPr>
                <w:rFonts w:asciiTheme="minorHAnsi" w:eastAsia="Times New Roman" w:hAnsiTheme="minorHAnsi" w:cstheme="minorHAnsi"/>
                <w:b w:val="0"/>
                <w:bCs w:val="0"/>
                <w:color w:val="auto"/>
                <w:sz w:val="24"/>
                <w:szCs w:val="24"/>
                <w:u w:val="none"/>
                <w:lang w:eastAsia="en-CA"/>
              </w:rPr>
              <w:t xml:space="preserve">.  </w:t>
            </w:r>
            <w:r w:rsidR="00536931" w:rsidRPr="000F6D22">
              <w:rPr>
                <w:rFonts w:asciiTheme="minorHAnsi" w:eastAsia="Times New Roman" w:hAnsiTheme="minorHAnsi" w:cstheme="minorHAnsi"/>
                <w:b w:val="0"/>
                <w:bCs w:val="0"/>
                <w:color w:val="auto"/>
                <w:sz w:val="24"/>
                <w:szCs w:val="24"/>
                <w:u w:val="none"/>
                <w:lang w:eastAsia="en-CA"/>
              </w:rPr>
              <w:t xml:space="preserve">The exam </w:t>
            </w:r>
            <w:r w:rsidR="00F50DD9" w:rsidRPr="000F6D22">
              <w:rPr>
                <w:rFonts w:asciiTheme="minorHAnsi" w:eastAsia="Times New Roman" w:hAnsiTheme="minorHAnsi" w:cstheme="minorHAnsi"/>
                <w:b w:val="0"/>
                <w:bCs w:val="0"/>
                <w:color w:val="auto"/>
                <w:sz w:val="24"/>
                <w:szCs w:val="24"/>
                <w:u w:val="none"/>
                <w:lang w:eastAsia="en-CA"/>
              </w:rPr>
              <w:t xml:space="preserve">consists of qualitative and numerical problems similar to the </w:t>
            </w:r>
            <w:r w:rsidR="00536931" w:rsidRPr="000F6D22">
              <w:rPr>
                <w:rFonts w:asciiTheme="minorHAnsi" w:eastAsia="Times New Roman" w:hAnsiTheme="minorHAnsi" w:cstheme="minorHAnsi"/>
                <w:b w:val="0"/>
                <w:bCs w:val="0"/>
                <w:color w:val="auto"/>
                <w:sz w:val="24"/>
                <w:szCs w:val="24"/>
                <w:u w:val="none"/>
                <w:lang w:eastAsia="en-CA"/>
              </w:rPr>
              <w:t>learning</w:t>
            </w:r>
            <w:r w:rsidR="00F50DD9" w:rsidRPr="000F6D22">
              <w:rPr>
                <w:rFonts w:asciiTheme="minorHAnsi" w:eastAsia="Times New Roman" w:hAnsiTheme="minorHAnsi" w:cstheme="minorHAnsi"/>
                <w:b w:val="0"/>
                <w:bCs w:val="0"/>
                <w:color w:val="auto"/>
                <w:sz w:val="24"/>
                <w:szCs w:val="24"/>
                <w:u w:val="none"/>
                <w:lang w:eastAsia="en-CA"/>
              </w:rPr>
              <w:t xml:space="preserve"> problems at the end of each module</w:t>
            </w:r>
            <w:r w:rsidR="00536931" w:rsidRPr="000F6D22">
              <w:rPr>
                <w:rFonts w:asciiTheme="minorHAnsi" w:eastAsia="Times New Roman" w:hAnsiTheme="minorHAnsi" w:cstheme="minorHAnsi"/>
                <w:b w:val="0"/>
                <w:bCs w:val="0"/>
                <w:color w:val="auto"/>
                <w:sz w:val="24"/>
                <w:szCs w:val="24"/>
                <w:u w:val="none"/>
                <w:lang w:eastAsia="en-CA"/>
              </w:rPr>
              <w:t xml:space="preserve">.  </w:t>
            </w:r>
            <w:r w:rsidR="00E4145C">
              <w:rPr>
                <w:rFonts w:asciiTheme="minorHAnsi" w:eastAsia="Times New Roman" w:hAnsiTheme="minorHAnsi" w:cstheme="minorHAnsi"/>
                <w:b w:val="0"/>
                <w:bCs w:val="0"/>
                <w:color w:val="auto"/>
                <w:sz w:val="24"/>
                <w:szCs w:val="24"/>
                <w:u w:val="none"/>
                <w:lang w:eastAsia="en-CA"/>
              </w:rPr>
              <w:t>There are no theory questions as that</w:t>
            </w:r>
            <w:r w:rsidR="00C33A70">
              <w:rPr>
                <w:rFonts w:asciiTheme="minorHAnsi" w:eastAsia="Times New Roman" w:hAnsiTheme="minorHAnsi" w:cstheme="minorHAnsi"/>
                <w:b w:val="0"/>
                <w:bCs w:val="0"/>
                <w:color w:val="auto"/>
                <w:sz w:val="24"/>
                <w:szCs w:val="24"/>
                <w:u w:val="none"/>
                <w:lang w:eastAsia="en-CA"/>
              </w:rPr>
              <w:t xml:space="preserve"> i</w:t>
            </w:r>
            <w:r w:rsidR="00E4145C">
              <w:rPr>
                <w:rFonts w:asciiTheme="minorHAnsi" w:eastAsia="Times New Roman" w:hAnsiTheme="minorHAnsi" w:cstheme="minorHAnsi"/>
                <w:b w:val="0"/>
                <w:bCs w:val="0"/>
                <w:color w:val="auto"/>
                <w:sz w:val="24"/>
                <w:szCs w:val="24"/>
                <w:u w:val="none"/>
                <w:lang w:eastAsia="en-CA"/>
              </w:rPr>
              <w:t xml:space="preserve">s tested in the Quizzes.  </w:t>
            </w:r>
            <w:r w:rsidRPr="000F6D22">
              <w:rPr>
                <w:rFonts w:asciiTheme="minorHAnsi" w:eastAsia="Times New Roman" w:hAnsiTheme="minorHAnsi" w:cstheme="minorHAnsi"/>
                <w:b w:val="0"/>
                <w:bCs w:val="0"/>
                <w:color w:val="auto"/>
                <w:sz w:val="24"/>
                <w:szCs w:val="24"/>
                <w:u w:val="none"/>
                <w:lang w:val="en-CA" w:eastAsia="en-CA"/>
              </w:rPr>
              <w:t xml:space="preserve">A formula sheet </w:t>
            </w:r>
            <w:r w:rsidR="007E1C53">
              <w:rPr>
                <w:rFonts w:asciiTheme="minorHAnsi" w:eastAsia="Times New Roman" w:hAnsiTheme="minorHAnsi" w:cstheme="minorHAnsi"/>
                <w:b w:val="0"/>
                <w:bCs w:val="0"/>
                <w:color w:val="auto"/>
                <w:sz w:val="24"/>
                <w:szCs w:val="24"/>
                <w:u w:val="none"/>
                <w:lang w:val="en-CA" w:eastAsia="en-CA"/>
              </w:rPr>
              <w:t>is i</w:t>
            </w:r>
            <w:r w:rsidR="008B472F">
              <w:rPr>
                <w:rFonts w:asciiTheme="minorHAnsi" w:eastAsia="Times New Roman" w:hAnsiTheme="minorHAnsi" w:cstheme="minorHAnsi"/>
                <w:b w:val="0"/>
                <w:bCs w:val="0"/>
                <w:color w:val="auto"/>
                <w:sz w:val="24"/>
                <w:szCs w:val="24"/>
                <w:u w:val="none"/>
                <w:lang w:val="en-CA" w:eastAsia="en-CA"/>
              </w:rPr>
              <w:t>ncluded in the exam</w:t>
            </w:r>
            <w:r w:rsidRPr="000F6D22">
              <w:rPr>
                <w:rFonts w:asciiTheme="minorHAnsi" w:eastAsia="Times New Roman" w:hAnsiTheme="minorHAnsi" w:cstheme="minorHAnsi"/>
                <w:b w:val="0"/>
                <w:bCs w:val="0"/>
                <w:color w:val="auto"/>
                <w:sz w:val="24"/>
                <w:szCs w:val="24"/>
                <w:u w:val="none"/>
                <w:lang w:val="en-CA" w:eastAsia="en-CA"/>
              </w:rPr>
              <w:t>. </w:t>
            </w:r>
            <w:r w:rsidR="00D571F5" w:rsidRPr="000F6D22">
              <w:rPr>
                <w:rFonts w:asciiTheme="minorHAnsi" w:eastAsia="Times New Roman" w:hAnsiTheme="minorHAnsi" w:cstheme="minorHAnsi"/>
                <w:b w:val="0"/>
                <w:bCs w:val="0"/>
                <w:color w:val="auto"/>
                <w:sz w:val="24"/>
                <w:szCs w:val="24"/>
                <w:u w:val="none"/>
                <w:lang w:val="en-CA" w:eastAsia="en-CA"/>
              </w:rPr>
              <w:t xml:space="preserve"> </w:t>
            </w:r>
            <w:r w:rsidRPr="000F6D22">
              <w:rPr>
                <w:rFonts w:asciiTheme="minorHAnsi" w:eastAsia="Times New Roman" w:hAnsiTheme="minorHAnsi" w:cstheme="minorHAnsi"/>
                <w:b w:val="0"/>
                <w:bCs w:val="0"/>
                <w:color w:val="auto"/>
                <w:sz w:val="24"/>
                <w:szCs w:val="24"/>
                <w:u w:val="none"/>
                <w:lang w:val="en-CA" w:eastAsia="en-CA"/>
              </w:rPr>
              <w:t xml:space="preserve">Any student who misses the mid-term without the instructor’s prior permission will receive a grade of zero.  Illness and family </w:t>
            </w:r>
            <w:r w:rsidR="00497036">
              <w:rPr>
                <w:rFonts w:asciiTheme="minorHAnsi" w:eastAsia="Times New Roman" w:hAnsiTheme="minorHAnsi" w:cstheme="minorHAnsi"/>
                <w:b w:val="0"/>
                <w:bCs w:val="0"/>
                <w:color w:val="auto"/>
                <w:sz w:val="24"/>
                <w:szCs w:val="24"/>
                <w:u w:val="none"/>
                <w:lang w:val="en-CA" w:eastAsia="en-CA"/>
              </w:rPr>
              <w:t>emergencies are generally the only acceptable reasons for missing a midterm,</w:t>
            </w:r>
            <w:r w:rsidRPr="000F6D22">
              <w:rPr>
                <w:rFonts w:asciiTheme="minorHAnsi" w:eastAsia="Times New Roman" w:hAnsiTheme="minorHAnsi" w:cstheme="minorHAnsi"/>
                <w:b w:val="0"/>
                <w:bCs w:val="0"/>
                <w:color w:val="auto"/>
                <w:sz w:val="24"/>
                <w:szCs w:val="24"/>
                <w:u w:val="none"/>
                <w:lang w:val="en-CA" w:eastAsia="en-CA"/>
              </w:rPr>
              <w:t xml:space="preserve"> and a substitute exam will be administered in these cases.  A scientific or financial calculator may be used during the exam.  Translators or other electronic devices</w:t>
            </w:r>
            <w:r w:rsidR="00497036">
              <w:rPr>
                <w:rFonts w:asciiTheme="minorHAnsi" w:eastAsia="Times New Roman" w:hAnsiTheme="minorHAnsi" w:cstheme="minorHAnsi"/>
                <w:b w:val="0"/>
                <w:bCs w:val="0"/>
                <w:color w:val="auto"/>
                <w:sz w:val="24"/>
                <w:szCs w:val="24"/>
                <w:u w:val="none"/>
                <w:lang w:val="en-CA" w:eastAsia="en-CA"/>
              </w:rPr>
              <w:t>, such as cell phones,</w:t>
            </w:r>
            <w:r w:rsidRPr="000F6D22">
              <w:rPr>
                <w:rFonts w:asciiTheme="minorHAnsi" w:eastAsia="Times New Roman" w:hAnsiTheme="minorHAnsi" w:cstheme="minorHAnsi"/>
                <w:b w:val="0"/>
                <w:bCs w:val="0"/>
                <w:color w:val="auto"/>
                <w:sz w:val="24"/>
                <w:szCs w:val="24"/>
                <w:u w:val="none"/>
                <w:lang w:val="en-CA" w:eastAsia="en-CA"/>
              </w:rPr>
              <w:t xml:space="preserve"> are not permitted.</w:t>
            </w:r>
          </w:p>
          <w:p w14:paraId="20027425" w14:textId="77777777" w:rsidR="002A62E2" w:rsidRPr="000F6D22" w:rsidRDefault="002A62E2" w:rsidP="002A62E2">
            <w:pPr>
              <w:shd w:val="clear" w:color="auto" w:fill="FFFFFF"/>
              <w:rPr>
                <w:rFonts w:asciiTheme="minorHAnsi" w:eastAsia="Times New Roman" w:hAnsiTheme="minorHAnsi" w:cstheme="minorHAnsi"/>
                <w:color w:val="auto"/>
                <w:sz w:val="24"/>
                <w:szCs w:val="24"/>
                <w:u w:val="none"/>
                <w:lang w:eastAsia="en-CA"/>
              </w:rPr>
            </w:pPr>
          </w:p>
          <w:p w14:paraId="0A28F5BF" w14:textId="1EA0F5CD" w:rsidR="002A62E2" w:rsidRPr="000F6D22" w:rsidRDefault="002A62E2" w:rsidP="002A62E2">
            <w:pPr>
              <w:shd w:val="clear" w:color="auto" w:fill="FFFFFF"/>
              <w:rPr>
                <w:rFonts w:asciiTheme="minorHAnsi" w:eastAsia="Times New Roman" w:hAnsiTheme="minorHAnsi" w:cstheme="minorHAnsi"/>
                <w:color w:val="auto"/>
                <w:sz w:val="24"/>
                <w:szCs w:val="24"/>
                <w:u w:val="none"/>
                <w:lang w:val="en-CA" w:eastAsia="en-CA"/>
              </w:rPr>
            </w:pPr>
            <w:r w:rsidRPr="000F6D22">
              <w:rPr>
                <w:rFonts w:asciiTheme="minorHAnsi" w:eastAsia="Times New Roman" w:hAnsiTheme="minorHAnsi" w:cstheme="minorHAnsi"/>
                <w:color w:val="auto"/>
                <w:sz w:val="24"/>
                <w:szCs w:val="24"/>
                <w:u w:val="none"/>
                <w:lang w:eastAsia="en-CA"/>
              </w:rPr>
              <w:t>Final Exam</w:t>
            </w:r>
          </w:p>
          <w:p w14:paraId="1202694A" w14:textId="77777777" w:rsidR="002A62E2" w:rsidRPr="000F6D22" w:rsidRDefault="002A62E2" w:rsidP="002A62E2">
            <w:pPr>
              <w:shd w:val="clear" w:color="auto" w:fill="FFFFFF"/>
              <w:rPr>
                <w:rFonts w:asciiTheme="minorHAnsi" w:eastAsia="Times New Roman" w:hAnsiTheme="minorHAnsi" w:cstheme="minorHAnsi"/>
                <w:b w:val="0"/>
                <w:bCs w:val="0"/>
                <w:color w:val="auto"/>
                <w:sz w:val="24"/>
                <w:szCs w:val="24"/>
                <w:u w:val="none"/>
                <w:lang w:eastAsia="en-CA"/>
              </w:rPr>
            </w:pPr>
          </w:p>
          <w:p w14:paraId="6D32E66F" w14:textId="4E2CC614" w:rsidR="00BD12FB" w:rsidRPr="001C210B" w:rsidRDefault="002A62E2" w:rsidP="001C210B">
            <w:pPr>
              <w:shd w:val="clear" w:color="auto" w:fill="FFFFFF"/>
              <w:rPr>
                <w:rFonts w:asciiTheme="minorHAnsi" w:eastAsia="Times New Roman" w:hAnsiTheme="minorHAnsi" w:cstheme="minorHAnsi"/>
                <w:b w:val="0"/>
                <w:bCs w:val="0"/>
                <w:color w:val="495057"/>
                <w:sz w:val="24"/>
                <w:szCs w:val="24"/>
                <w:u w:val="none"/>
                <w:lang w:val="en-CA" w:eastAsia="en-CA"/>
              </w:rPr>
            </w:pPr>
            <w:r w:rsidRPr="000F6D22">
              <w:rPr>
                <w:rFonts w:asciiTheme="minorHAnsi" w:eastAsia="Times New Roman" w:hAnsiTheme="minorHAnsi" w:cstheme="minorHAnsi"/>
                <w:b w:val="0"/>
                <w:bCs w:val="0"/>
                <w:color w:val="auto"/>
                <w:sz w:val="24"/>
                <w:szCs w:val="24"/>
                <w:u w:val="none"/>
                <w:lang w:eastAsia="en-CA"/>
              </w:rPr>
              <w:t>A three-hour comprehensive final exam is scheduled during the regular exam period. </w:t>
            </w:r>
            <w:r w:rsidR="00D571F5" w:rsidRPr="000F6D22">
              <w:rPr>
                <w:rFonts w:asciiTheme="minorHAnsi" w:eastAsia="Times New Roman" w:hAnsiTheme="minorHAnsi" w:cstheme="minorHAnsi"/>
                <w:b w:val="0"/>
                <w:bCs w:val="0"/>
                <w:color w:val="auto"/>
                <w:sz w:val="24"/>
                <w:szCs w:val="24"/>
                <w:u w:val="none"/>
                <w:lang w:eastAsia="en-CA"/>
              </w:rPr>
              <w:t xml:space="preserve"> </w:t>
            </w:r>
            <w:r w:rsidR="000A4C4E" w:rsidRPr="000F6D22">
              <w:rPr>
                <w:rFonts w:asciiTheme="minorHAnsi" w:eastAsia="Times New Roman" w:hAnsiTheme="minorHAnsi" w:cstheme="minorHAnsi"/>
                <w:b w:val="0"/>
                <w:bCs w:val="0"/>
                <w:color w:val="auto"/>
                <w:sz w:val="24"/>
                <w:szCs w:val="24"/>
                <w:u w:val="none"/>
                <w:lang w:eastAsia="en-CA"/>
              </w:rPr>
              <w:t>The exa</w:t>
            </w:r>
            <w:r w:rsidR="00E4145C">
              <w:rPr>
                <w:rFonts w:asciiTheme="minorHAnsi" w:eastAsia="Times New Roman" w:hAnsiTheme="minorHAnsi" w:cstheme="minorHAnsi"/>
                <w:b w:val="0"/>
                <w:bCs w:val="0"/>
                <w:color w:val="auto"/>
                <w:sz w:val="24"/>
                <w:szCs w:val="24"/>
                <w:u w:val="none"/>
                <w:lang w:eastAsia="en-CA"/>
              </w:rPr>
              <w:t xml:space="preserve">m </w:t>
            </w:r>
            <w:r w:rsidR="000A4C4E" w:rsidRPr="000F6D22">
              <w:rPr>
                <w:rFonts w:asciiTheme="minorHAnsi" w:eastAsia="Times New Roman" w:hAnsiTheme="minorHAnsi" w:cstheme="minorHAnsi"/>
                <w:b w:val="0"/>
                <w:bCs w:val="0"/>
                <w:color w:val="auto"/>
                <w:sz w:val="24"/>
                <w:szCs w:val="24"/>
                <w:u w:val="none"/>
                <w:lang w:eastAsia="en-CA"/>
              </w:rPr>
              <w:t xml:space="preserve">consists of qualitative and numerical problems similar to the learning problems at the end of each module.  </w:t>
            </w:r>
            <w:r w:rsidRPr="000F6D22">
              <w:rPr>
                <w:rFonts w:asciiTheme="minorHAnsi" w:eastAsia="Times New Roman" w:hAnsiTheme="minorHAnsi" w:cstheme="minorHAnsi"/>
                <w:b w:val="0"/>
                <w:bCs w:val="0"/>
                <w:color w:val="auto"/>
                <w:sz w:val="24"/>
                <w:szCs w:val="24"/>
                <w:u w:val="none"/>
                <w:lang w:eastAsia="en-CA"/>
              </w:rPr>
              <w:t xml:space="preserve">A formula sheet is provided </w:t>
            </w:r>
            <w:r w:rsidR="00BC4937" w:rsidRPr="000F6D22">
              <w:rPr>
                <w:rFonts w:asciiTheme="minorHAnsi" w:eastAsia="Times New Roman" w:hAnsiTheme="minorHAnsi" w:cstheme="minorHAnsi"/>
                <w:b w:val="0"/>
                <w:bCs w:val="0"/>
                <w:color w:val="auto"/>
                <w:sz w:val="24"/>
                <w:szCs w:val="24"/>
                <w:u w:val="none"/>
                <w:lang w:eastAsia="en-CA"/>
              </w:rPr>
              <w:t xml:space="preserve">before </w:t>
            </w:r>
            <w:r w:rsidRPr="000F6D22">
              <w:rPr>
                <w:rFonts w:asciiTheme="minorHAnsi" w:eastAsia="Times New Roman" w:hAnsiTheme="minorHAnsi" w:cstheme="minorHAnsi"/>
                <w:b w:val="0"/>
                <w:bCs w:val="0"/>
                <w:color w:val="auto"/>
                <w:sz w:val="24"/>
                <w:szCs w:val="24"/>
                <w:u w:val="none"/>
                <w:lang w:eastAsia="en-CA"/>
              </w:rPr>
              <w:t>the exam</w:t>
            </w:r>
            <w:r w:rsidR="00497036">
              <w:rPr>
                <w:rFonts w:asciiTheme="minorHAnsi" w:eastAsia="Times New Roman" w:hAnsiTheme="minorHAnsi" w:cstheme="minorHAnsi"/>
                <w:b w:val="0"/>
                <w:bCs w:val="0"/>
                <w:color w:val="auto"/>
                <w:sz w:val="24"/>
                <w:szCs w:val="24"/>
                <w:u w:val="none"/>
                <w:lang w:eastAsia="en-CA"/>
              </w:rPr>
              <w:t>,</w:t>
            </w:r>
            <w:r w:rsidRPr="000F6D22">
              <w:rPr>
                <w:rFonts w:asciiTheme="minorHAnsi" w:eastAsia="Times New Roman" w:hAnsiTheme="minorHAnsi" w:cstheme="minorHAnsi"/>
                <w:b w:val="0"/>
                <w:bCs w:val="0"/>
                <w:color w:val="auto"/>
                <w:sz w:val="24"/>
                <w:szCs w:val="24"/>
                <w:u w:val="none"/>
                <w:lang w:eastAsia="en-CA"/>
              </w:rPr>
              <w:t xml:space="preserve"> which students can print out and use during the exam.</w:t>
            </w:r>
            <w:r w:rsidR="000A4C4E" w:rsidRPr="000F6D22">
              <w:rPr>
                <w:rFonts w:asciiTheme="minorHAnsi" w:eastAsia="Times New Roman" w:hAnsiTheme="minorHAnsi" w:cstheme="minorHAnsi"/>
                <w:b w:val="0"/>
                <w:bCs w:val="0"/>
                <w:color w:val="auto"/>
                <w:sz w:val="24"/>
                <w:szCs w:val="24"/>
                <w:u w:val="none"/>
                <w:lang w:eastAsia="en-CA"/>
              </w:rPr>
              <w:t xml:space="preserve">  </w:t>
            </w:r>
            <w:r w:rsidRPr="000F6D22">
              <w:rPr>
                <w:rFonts w:asciiTheme="minorHAnsi" w:eastAsia="Times New Roman" w:hAnsiTheme="minorHAnsi" w:cstheme="minorHAnsi"/>
                <w:b w:val="0"/>
                <w:bCs w:val="0"/>
                <w:color w:val="auto"/>
                <w:sz w:val="24"/>
                <w:szCs w:val="24"/>
                <w:u w:val="none"/>
                <w:lang w:val="en-CA" w:eastAsia="en-CA"/>
              </w:rPr>
              <w:t xml:space="preserve">Any student who misses the final exam without the instructor’s prior permission will receive a grade of zero.  Illness and family </w:t>
            </w:r>
            <w:r w:rsidR="00A31DEF">
              <w:rPr>
                <w:rFonts w:asciiTheme="minorHAnsi" w:eastAsia="Times New Roman" w:hAnsiTheme="minorHAnsi" w:cstheme="minorHAnsi"/>
                <w:b w:val="0"/>
                <w:bCs w:val="0"/>
                <w:color w:val="auto"/>
                <w:sz w:val="24"/>
                <w:szCs w:val="24"/>
                <w:u w:val="none"/>
                <w:lang w:val="en-CA" w:eastAsia="en-CA"/>
              </w:rPr>
              <w:t>emergencies</w:t>
            </w:r>
            <w:r w:rsidRPr="000F6D22">
              <w:rPr>
                <w:rFonts w:asciiTheme="minorHAnsi" w:eastAsia="Times New Roman" w:hAnsiTheme="minorHAnsi" w:cstheme="minorHAnsi"/>
                <w:b w:val="0"/>
                <w:bCs w:val="0"/>
                <w:color w:val="auto"/>
                <w:sz w:val="24"/>
                <w:szCs w:val="24"/>
                <w:u w:val="none"/>
                <w:lang w:val="en-CA" w:eastAsia="en-CA"/>
              </w:rPr>
              <w:t xml:space="preserve"> are generally the only acceptable reasons for missing a final exam</w:t>
            </w:r>
            <w:r w:rsidR="00497036">
              <w:rPr>
                <w:rFonts w:asciiTheme="minorHAnsi" w:eastAsia="Times New Roman" w:hAnsiTheme="minorHAnsi" w:cstheme="minorHAnsi"/>
                <w:b w:val="0"/>
                <w:bCs w:val="0"/>
                <w:color w:val="auto"/>
                <w:sz w:val="24"/>
                <w:szCs w:val="24"/>
                <w:u w:val="none"/>
                <w:lang w:val="en-CA" w:eastAsia="en-CA"/>
              </w:rPr>
              <w:t>,</w:t>
            </w:r>
            <w:r w:rsidRPr="000F6D22">
              <w:rPr>
                <w:rFonts w:asciiTheme="minorHAnsi" w:eastAsia="Times New Roman" w:hAnsiTheme="minorHAnsi" w:cstheme="minorHAnsi"/>
                <w:b w:val="0"/>
                <w:bCs w:val="0"/>
                <w:color w:val="auto"/>
                <w:sz w:val="24"/>
                <w:szCs w:val="24"/>
                <w:u w:val="none"/>
                <w:lang w:val="en-CA" w:eastAsia="en-CA"/>
              </w:rPr>
              <w:t xml:space="preserve"> and a substitute exam will be administered in these cases.  A scientific or financial calculator may be used during the exam.  Translators or other electronic devices</w:t>
            </w:r>
            <w:r w:rsidR="00497036">
              <w:rPr>
                <w:rFonts w:asciiTheme="minorHAnsi" w:eastAsia="Times New Roman" w:hAnsiTheme="minorHAnsi" w:cstheme="minorHAnsi"/>
                <w:b w:val="0"/>
                <w:bCs w:val="0"/>
                <w:color w:val="auto"/>
                <w:sz w:val="24"/>
                <w:szCs w:val="24"/>
                <w:u w:val="none"/>
                <w:lang w:val="en-CA" w:eastAsia="en-CA"/>
              </w:rPr>
              <w:t>, such as cell phones,</w:t>
            </w:r>
            <w:r w:rsidRPr="000F6D22">
              <w:rPr>
                <w:rFonts w:asciiTheme="minorHAnsi" w:eastAsia="Times New Roman" w:hAnsiTheme="minorHAnsi" w:cstheme="minorHAnsi"/>
                <w:b w:val="0"/>
                <w:bCs w:val="0"/>
                <w:color w:val="auto"/>
                <w:sz w:val="24"/>
                <w:szCs w:val="24"/>
                <w:u w:val="none"/>
                <w:lang w:val="en-CA" w:eastAsia="en-CA"/>
              </w:rPr>
              <w:t xml:space="preserve"> are not permitted.  </w:t>
            </w:r>
          </w:p>
        </w:tc>
      </w:tr>
    </w:tbl>
    <w:p w14:paraId="40B93636" w14:textId="77777777" w:rsidR="0060577E" w:rsidRPr="00EC6E89" w:rsidRDefault="0060577E" w:rsidP="0060577E">
      <w:pPr>
        <w:widowControl w:val="0"/>
        <w:autoSpaceDE w:val="0"/>
        <w:autoSpaceDN w:val="0"/>
        <w:adjustRightInd w:val="0"/>
        <w:spacing w:after="0" w:line="240" w:lineRule="auto"/>
        <w:rPr>
          <w:rFonts w:eastAsia="Times New Roman" w:cs="Times New Roman"/>
          <w:b/>
          <w:bCs/>
          <w:color w:val="000000"/>
          <w:sz w:val="20"/>
          <w:szCs w:val="20"/>
        </w:rPr>
      </w:pPr>
    </w:p>
    <w:p w14:paraId="0462277A" w14:textId="77777777" w:rsidR="00765D91" w:rsidRDefault="00765D91">
      <w:pPr>
        <w:rPr>
          <w:rFonts w:eastAsia="Times New Roman" w:cs="Times New Roman"/>
          <w:b/>
          <w:bCs/>
          <w:color w:val="000000"/>
          <w:sz w:val="28"/>
          <w:szCs w:val="28"/>
        </w:rPr>
      </w:pPr>
      <w:r>
        <w:rPr>
          <w:rFonts w:eastAsia="Times New Roman" w:cs="Times New Roman"/>
          <w:b/>
          <w:bCs/>
          <w:color w:val="000000"/>
          <w:sz w:val="28"/>
          <w:szCs w:val="28"/>
        </w:rPr>
        <w:br w:type="page"/>
      </w:r>
    </w:p>
    <w:p w14:paraId="1C618A4A" w14:textId="420CE962" w:rsidR="0060577E" w:rsidRDefault="0060577E" w:rsidP="0060577E">
      <w:pPr>
        <w:keepLines/>
        <w:widowControl w:val="0"/>
        <w:autoSpaceDE w:val="0"/>
        <w:autoSpaceDN w:val="0"/>
        <w:adjustRightInd w:val="0"/>
        <w:spacing w:after="0" w:line="240" w:lineRule="auto"/>
        <w:rPr>
          <w:rFonts w:eastAsia="Times New Roman" w:cs="Times New Roman"/>
          <w:b/>
          <w:bCs/>
          <w:color w:val="000000"/>
          <w:sz w:val="28"/>
          <w:szCs w:val="28"/>
        </w:rPr>
      </w:pPr>
      <w:r w:rsidRPr="003B4D4A">
        <w:rPr>
          <w:rFonts w:eastAsia="Times New Roman" w:cs="Times New Roman"/>
          <w:b/>
          <w:bCs/>
          <w:color w:val="000000"/>
          <w:sz w:val="28"/>
          <w:szCs w:val="28"/>
        </w:rPr>
        <w:lastRenderedPageBreak/>
        <w:t>Course Topics</w:t>
      </w:r>
    </w:p>
    <w:p w14:paraId="6502F619" w14:textId="77777777" w:rsidR="00950DBE" w:rsidRPr="00EC6E89" w:rsidRDefault="00950DBE" w:rsidP="0060577E">
      <w:pPr>
        <w:keepLines/>
        <w:widowControl w:val="0"/>
        <w:autoSpaceDE w:val="0"/>
        <w:autoSpaceDN w:val="0"/>
        <w:adjustRightInd w:val="0"/>
        <w:spacing w:after="0" w:line="240" w:lineRule="auto"/>
        <w:rPr>
          <w:rFonts w:eastAsia="Times New Roman" w:cs="Times New Roman"/>
          <w:b/>
          <w:bCs/>
          <w:color w:val="000000"/>
          <w:sz w:val="20"/>
          <w:szCs w:val="20"/>
        </w:rPr>
      </w:pPr>
    </w:p>
    <w:tbl>
      <w:tblPr>
        <w:tblStyle w:val="TableGrid"/>
        <w:tblW w:w="0" w:type="auto"/>
        <w:tblLook w:val="04A0" w:firstRow="1" w:lastRow="0" w:firstColumn="1" w:lastColumn="0" w:noHBand="0" w:noVBand="1"/>
      </w:tblPr>
      <w:tblGrid>
        <w:gridCol w:w="10214"/>
      </w:tblGrid>
      <w:tr w:rsidR="0060577E" w:rsidRPr="003B4D4A" w14:paraId="7205D2E4" w14:textId="77777777" w:rsidTr="00F741DD">
        <w:trPr>
          <w:trHeight w:val="82"/>
        </w:trPr>
        <w:tc>
          <w:tcPr>
            <w:tcW w:w="10440" w:type="dxa"/>
            <w:tcMar>
              <w:top w:w="115" w:type="dxa"/>
              <w:left w:w="115" w:type="dxa"/>
              <w:bottom w:w="115" w:type="dxa"/>
              <w:right w:w="115" w:type="dxa"/>
            </w:tcMar>
          </w:tcPr>
          <w:p w14:paraId="78B219A9" w14:textId="34469EDB" w:rsidR="0024790A" w:rsidRPr="007B4579" w:rsidRDefault="0024790A" w:rsidP="000505C0">
            <w:pPr>
              <w:pStyle w:val="ListParagraph"/>
              <w:numPr>
                <w:ilvl w:val="0"/>
                <w:numId w:val="46"/>
              </w:numPr>
              <w:shd w:val="clear" w:color="auto" w:fill="FFFFFF"/>
              <w:ind w:left="414" w:hanging="450"/>
              <w:rPr>
                <w:rFonts w:asciiTheme="minorHAnsi" w:eastAsia="Times New Roman" w:hAnsiTheme="minorHAnsi" w:cstheme="minorHAnsi"/>
                <w:b w:val="0"/>
                <w:bCs w:val="0"/>
                <w:color w:val="2D2D2D"/>
                <w:sz w:val="24"/>
                <w:szCs w:val="24"/>
                <w:u w:val="none"/>
              </w:rPr>
            </w:pPr>
            <w:r w:rsidRPr="007B4579">
              <w:rPr>
                <w:rFonts w:asciiTheme="minorHAnsi" w:eastAsia="Times New Roman" w:hAnsiTheme="minorHAnsi" w:cstheme="minorHAnsi"/>
                <w:b w:val="0"/>
                <w:bCs w:val="0"/>
                <w:color w:val="2D2D2D"/>
                <w:sz w:val="24"/>
                <w:szCs w:val="24"/>
                <w:u w:val="none"/>
              </w:rPr>
              <w:t>Dividends and Dividend Policy</w:t>
            </w:r>
          </w:p>
          <w:p w14:paraId="638F70B0" w14:textId="77777777" w:rsidR="0024790A" w:rsidRPr="007B4579"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7B4579">
              <w:rPr>
                <w:rFonts w:asciiTheme="minorHAnsi" w:eastAsia="Times New Roman" w:hAnsiTheme="minorHAnsi" w:cstheme="minorHAnsi"/>
                <w:b w:val="0"/>
                <w:color w:val="2D2D2D"/>
                <w:sz w:val="24"/>
                <w:szCs w:val="24"/>
                <w:u w:val="none"/>
                <w:lang w:val="en-GB"/>
              </w:rPr>
              <w:t>Taxation of dividends and capital gains</w:t>
            </w:r>
          </w:p>
          <w:p w14:paraId="10E2F95D" w14:textId="77777777" w:rsidR="0024790A" w:rsidRPr="00EB3C04"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Types of dividends</w:t>
            </w:r>
          </w:p>
          <w:p w14:paraId="6E852E10" w14:textId="23CC5F9E" w:rsidR="0024790A" w:rsidRPr="00EB3C04" w:rsidRDefault="0024790A" w:rsidP="000505C0">
            <w:pPr>
              <w:numPr>
                <w:ilvl w:val="1"/>
                <w:numId w:val="22"/>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Cash dividends</w:t>
            </w:r>
            <w:r w:rsidR="00497036">
              <w:rPr>
                <w:rFonts w:asciiTheme="minorHAnsi" w:eastAsia="Times New Roman" w:hAnsiTheme="minorHAnsi" w:cstheme="minorHAnsi"/>
                <w:b w:val="0"/>
                <w:color w:val="2D2D2D"/>
                <w:sz w:val="24"/>
                <w:szCs w:val="24"/>
                <w:u w:val="none"/>
              </w:rPr>
              <w:t>,</w:t>
            </w:r>
            <w:r w:rsidRPr="00EB3C04">
              <w:rPr>
                <w:rFonts w:asciiTheme="minorHAnsi" w:eastAsia="Times New Roman" w:hAnsiTheme="minorHAnsi" w:cstheme="minorHAnsi"/>
                <w:b w:val="0"/>
                <w:color w:val="2D2D2D"/>
                <w:sz w:val="24"/>
                <w:szCs w:val="24"/>
                <w:u w:val="none"/>
              </w:rPr>
              <w:t xml:space="preserve"> including regular, extra and special dividends </w:t>
            </w:r>
          </w:p>
          <w:p w14:paraId="06450E62" w14:textId="77777777" w:rsidR="0024790A" w:rsidRPr="00EB3C04" w:rsidRDefault="0024790A" w:rsidP="000505C0">
            <w:pPr>
              <w:numPr>
                <w:ilvl w:val="1"/>
                <w:numId w:val="22"/>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Dividend payment dates</w:t>
            </w:r>
          </w:p>
          <w:p w14:paraId="22456EBD" w14:textId="77777777" w:rsidR="0024790A" w:rsidRPr="00EB3C04" w:rsidRDefault="0024790A" w:rsidP="000505C0">
            <w:pPr>
              <w:numPr>
                <w:ilvl w:val="1"/>
                <w:numId w:val="22"/>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Dividend reinvestment plans (DRIPs) and stock purchase plans (SPPs)</w:t>
            </w:r>
          </w:p>
          <w:p w14:paraId="5CB617C8" w14:textId="77777777" w:rsidR="0024790A" w:rsidRPr="00EB3C04" w:rsidRDefault="0024790A" w:rsidP="000505C0">
            <w:pPr>
              <w:numPr>
                <w:ilvl w:val="1"/>
                <w:numId w:val="22"/>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Liquidating dividends, stock splits, reverse stock splits and stock dividends</w:t>
            </w:r>
          </w:p>
          <w:p w14:paraId="50BB4CAA" w14:textId="77777777" w:rsidR="0024790A" w:rsidRPr="00EB3C04"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Rationale and mechanics of stock repurchases</w:t>
            </w:r>
          </w:p>
          <w:p w14:paraId="3C78FD02" w14:textId="77777777" w:rsidR="0024790A" w:rsidRPr="00EB3C04"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Relevance of dividend policy</w:t>
            </w:r>
          </w:p>
          <w:p w14:paraId="088F1B1C" w14:textId="3C221B57" w:rsidR="0024790A" w:rsidRPr="00EB3C04" w:rsidRDefault="00497036"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Pr>
                <w:rFonts w:asciiTheme="minorHAnsi" w:eastAsia="Times New Roman" w:hAnsiTheme="minorHAnsi" w:cstheme="minorHAnsi"/>
                <w:b w:val="0"/>
                <w:color w:val="2D2D2D"/>
                <w:sz w:val="24"/>
                <w:szCs w:val="24"/>
                <w:u w:val="none"/>
              </w:rPr>
              <w:t>Transaction</w:t>
            </w:r>
            <w:r w:rsidR="0024790A" w:rsidRPr="00EB3C04">
              <w:rPr>
                <w:rFonts w:asciiTheme="minorHAnsi" w:eastAsia="Times New Roman" w:hAnsiTheme="minorHAnsi" w:cstheme="minorHAnsi"/>
                <w:b w:val="0"/>
                <w:color w:val="2D2D2D"/>
                <w:sz w:val="24"/>
                <w:szCs w:val="24"/>
                <w:u w:val="none"/>
              </w:rPr>
              <w:t xml:space="preserve"> costs</w:t>
            </w:r>
          </w:p>
          <w:p w14:paraId="750FAB6E"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Issuance costs</w:t>
            </w:r>
          </w:p>
          <w:p w14:paraId="753085E1"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Irrational investor behaviour</w:t>
            </w:r>
          </w:p>
          <w:p w14:paraId="618D10BB"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Taxes</w:t>
            </w:r>
          </w:p>
          <w:p w14:paraId="7BC7C9D8"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Agency costs</w:t>
            </w:r>
          </w:p>
          <w:p w14:paraId="3A976399"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Asymmetric information</w:t>
            </w:r>
          </w:p>
          <w:p w14:paraId="5CD4AF6F"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Bird in hand argument</w:t>
            </w:r>
          </w:p>
          <w:p w14:paraId="665B20C5" w14:textId="77777777" w:rsidR="0024790A" w:rsidRPr="00EB3C04" w:rsidRDefault="0024790A" w:rsidP="000505C0">
            <w:pPr>
              <w:numPr>
                <w:ilvl w:val="1"/>
                <w:numId w:val="23"/>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Financial flexibility</w:t>
            </w:r>
          </w:p>
          <w:p w14:paraId="5105118A" w14:textId="77777777" w:rsidR="0024790A" w:rsidRPr="00EB3C04"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Business cycle and other factors influencing the dividend decision</w:t>
            </w:r>
          </w:p>
          <w:p w14:paraId="4A7EAB28" w14:textId="77777777" w:rsidR="0024790A" w:rsidRPr="00EB3C04"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Dividend theories</w:t>
            </w:r>
          </w:p>
          <w:p w14:paraId="7878F711" w14:textId="77777777" w:rsidR="0024790A" w:rsidRPr="00EB3C04" w:rsidRDefault="0024790A" w:rsidP="000505C0">
            <w:pPr>
              <w:numPr>
                <w:ilvl w:val="1"/>
                <w:numId w:val="24"/>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Clientele effect</w:t>
            </w:r>
          </w:p>
          <w:p w14:paraId="53AB49B3" w14:textId="77777777" w:rsidR="0024790A" w:rsidRPr="00EB3C04" w:rsidRDefault="0024790A" w:rsidP="000505C0">
            <w:pPr>
              <w:numPr>
                <w:ilvl w:val="1"/>
                <w:numId w:val="24"/>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Signalling theory</w:t>
            </w:r>
          </w:p>
          <w:p w14:paraId="6D37420C" w14:textId="77777777" w:rsidR="0024790A" w:rsidRPr="00EB3C04" w:rsidRDefault="0024790A" w:rsidP="000505C0">
            <w:pPr>
              <w:numPr>
                <w:ilvl w:val="1"/>
                <w:numId w:val="24"/>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Residual dividend theory</w:t>
            </w:r>
          </w:p>
          <w:p w14:paraId="7BEDC762" w14:textId="77777777" w:rsidR="0024790A" w:rsidRPr="00EB3C04" w:rsidRDefault="0024790A" w:rsidP="000505C0">
            <w:pPr>
              <w:numPr>
                <w:ilvl w:val="1"/>
                <w:numId w:val="24"/>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Managed dividend theory</w:t>
            </w:r>
          </w:p>
          <w:p w14:paraId="6C06F2B6" w14:textId="77777777" w:rsidR="0024790A" w:rsidRPr="00EB3C04" w:rsidRDefault="0024790A" w:rsidP="000505C0">
            <w:pPr>
              <w:numPr>
                <w:ilvl w:val="0"/>
                <w:numId w:val="6"/>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Dividend policy in practice</w:t>
            </w:r>
          </w:p>
          <w:p w14:paraId="619A108C" w14:textId="77777777" w:rsidR="0024790A" w:rsidRPr="00EB3C04" w:rsidRDefault="0024790A" w:rsidP="0024790A">
            <w:pPr>
              <w:shd w:val="clear" w:color="auto" w:fill="FFFFFF"/>
              <w:ind w:left="720"/>
              <w:rPr>
                <w:rFonts w:asciiTheme="minorHAnsi" w:eastAsia="Times New Roman" w:hAnsiTheme="minorHAnsi" w:cstheme="minorHAnsi"/>
                <w:b w:val="0"/>
                <w:color w:val="2D2D2D"/>
                <w:sz w:val="24"/>
                <w:szCs w:val="24"/>
                <w:u w:val="none"/>
              </w:rPr>
            </w:pPr>
          </w:p>
          <w:p w14:paraId="6E79C25E" w14:textId="2985E339" w:rsidR="0024790A" w:rsidRPr="00EB3C04" w:rsidRDefault="007B4579" w:rsidP="0024790A">
            <w:pPr>
              <w:shd w:val="clear" w:color="auto" w:fill="FFFFFF"/>
              <w:rPr>
                <w:rFonts w:asciiTheme="minorHAnsi" w:eastAsia="Times New Roman" w:hAnsiTheme="minorHAnsi" w:cstheme="minorHAnsi"/>
                <w:b w:val="0"/>
                <w:color w:val="2D2D2D"/>
                <w:sz w:val="24"/>
                <w:szCs w:val="24"/>
                <w:u w:val="none"/>
              </w:rPr>
            </w:pPr>
            <w:r>
              <w:rPr>
                <w:rFonts w:asciiTheme="minorHAnsi" w:eastAsia="Times New Roman" w:hAnsiTheme="minorHAnsi" w:cstheme="minorHAnsi"/>
                <w:b w:val="0"/>
                <w:color w:val="2D2D2D"/>
                <w:sz w:val="24"/>
                <w:szCs w:val="24"/>
                <w:u w:val="none"/>
              </w:rPr>
              <w:t>2</w:t>
            </w:r>
            <w:r w:rsidR="0024790A" w:rsidRPr="00EB3C04">
              <w:rPr>
                <w:rFonts w:asciiTheme="minorHAnsi" w:eastAsia="Times New Roman" w:hAnsiTheme="minorHAnsi" w:cstheme="minorHAnsi"/>
                <w:b w:val="0"/>
                <w:color w:val="2D2D2D"/>
                <w:sz w:val="24"/>
                <w:szCs w:val="24"/>
                <w:u w:val="none"/>
              </w:rPr>
              <w:t>.  Matching Maturities of Assets and Liabilities</w:t>
            </w:r>
          </w:p>
          <w:p w14:paraId="5022857C" w14:textId="77777777" w:rsidR="0024790A" w:rsidRPr="00EB3C04" w:rsidRDefault="0024790A" w:rsidP="000505C0">
            <w:pPr>
              <w:numPr>
                <w:ilvl w:val="0"/>
                <w:numId w:val="7"/>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Rationale for matching the maturity of assets and liabilities</w:t>
            </w:r>
          </w:p>
          <w:p w14:paraId="5767D145" w14:textId="77777777" w:rsidR="0024790A" w:rsidRPr="00EB3C04" w:rsidRDefault="0024790A" w:rsidP="000505C0">
            <w:pPr>
              <w:numPr>
                <w:ilvl w:val="0"/>
                <w:numId w:val="7"/>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Restrictive, flexible and compromise maturity matching policies</w:t>
            </w:r>
          </w:p>
          <w:p w14:paraId="44D41B22" w14:textId="77777777" w:rsidR="0024790A" w:rsidRPr="00EB3C04" w:rsidRDefault="0024790A" w:rsidP="000505C0">
            <w:pPr>
              <w:numPr>
                <w:ilvl w:val="0"/>
                <w:numId w:val="7"/>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Mismatching the average terms of long-term assets and liabilities</w:t>
            </w:r>
          </w:p>
          <w:p w14:paraId="1821C3BE" w14:textId="77777777" w:rsidR="0024790A" w:rsidRPr="00EB3C04" w:rsidRDefault="0024790A" w:rsidP="000505C0">
            <w:pPr>
              <w:numPr>
                <w:ilvl w:val="0"/>
                <w:numId w:val="7"/>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Maturity matching in practice</w:t>
            </w:r>
          </w:p>
          <w:p w14:paraId="625F0213" w14:textId="77777777" w:rsidR="0024790A" w:rsidRPr="00EB3C04" w:rsidRDefault="0024790A" w:rsidP="000505C0">
            <w:pPr>
              <w:numPr>
                <w:ilvl w:val="0"/>
                <w:numId w:val="7"/>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Temporary financing</w:t>
            </w:r>
          </w:p>
          <w:p w14:paraId="71DF79A0" w14:textId="77777777" w:rsidR="0024790A" w:rsidRPr="00EB3C04" w:rsidRDefault="0024790A" w:rsidP="000505C0">
            <w:pPr>
              <w:numPr>
                <w:ilvl w:val="1"/>
                <w:numId w:val="25"/>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Trade credit</w:t>
            </w:r>
          </w:p>
          <w:p w14:paraId="2549F074" w14:textId="77777777" w:rsidR="0024790A" w:rsidRPr="00EB3C04" w:rsidRDefault="0024790A" w:rsidP="000505C0">
            <w:pPr>
              <w:numPr>
                <w:ilvl w:val="1"/>
                <w:numId w:val="25"/>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Commercial line of credit</w:t>
            </w:r>
          </w:p>
          <w:p w14:paraId="209A5966" w14:textId="77777777" w:rsidR="0024790A" w:rsidRPr="00EB3C04" w:rsidRDefault="0024790A" w:rsidP="000505C0">
            <w:pPr>
              <w:numPr>
                <w:ilvl w:val="0"/>
                <w:numId w:val="7"/>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Permanent financing</w:t>
            </w:r>
          </w:p>
          <w:p w14:paraId="5C646DED" w14:textId="77777777" w:rsidR="0024790A" w:rsidRPr="00EB3C04" w:rsidRDefault="0024790A" w:rsidP="000505C0">
            <w:pPr>
              <w:numPr>
                <w:ilvl w:val="1"/>
                <w:numId w:val="26"/>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Commercial mortgage loans</w:t>
            </w:r>
          </w:p>
          <w:p w14:paraId="13DA0F11" w14:textId="77777777" w:rsidR="0024790A" w:rsidRPr="00EB3C04" w:rsidRDefault="0024790A" w:rsidP="000505C0">
            <w:pPr>
              <w:numPr>
                <w:ilvl w:val="1"/>
                <w:numId w:val="26"/>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Term loans</w:t>
            </w:r>
          </w:p>
          <w:p w14:paraId="2F80BD38" w14:textId="77777777" w:rsidR="0024790A" w:rsidRPr="00EB3C04" w:rsidRDefault="0024790A" w:rsidP="000505C0">
            <w:pPr>
              <w:numPr>
                <w:ilvl w:val="1"/>
                <w:numId w:val="26"/>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Revolving credit facilities</w:t>
            </w:r>
            <w:r w:rsidRPr="00EB3C04">
              <w:rPr>
                <w:rFonts w:asciiTheme="minorHAnsi" w:eastAsia="Times New Roman" w:hAnsiTheme="minorHAnsi" w:cstheme="minorHAnsi"/>
                <w:b w:val="0"/>
                <w:color w:val="2D2D2D"/>
                <w:sz w:val="24"/>
                <w:szCs w:val="24"/>
                <w:u w:val="none"/>
              </w:rPr>
              <w:br/>
            </w:r>
          </w:p>
          <w:p w14:paraId="78E7D01A" w14:textId="6D056C15" w:rsidR="0024790A" w:rsidRPr="00EB3C04" w:rsidRDefault="007B4579" w:rsidP="0024790A">
            <w:pPr>
              <w:rPr>
                <w:rFonts w:asciiTheme="minorHAnsi" w:eastAsia="Times New Roman" w:hAnsiTheme="minorHAnsi" w:cstheme="minorHAnsi"/>
                <w:b w:val="0"/>
                <w:color w:val="2D2D2D"/>
                <w:sz w:val="24"/>
                <w:szCs w:val="24"/>
                <w:u w:val="none"/>
                <w:shd w:val="clear" w:color="auto" w:fill="FFFFFF"/>
              </w:rPr>
            </w:pPr>
            <w:r>
              <w:rPr>
                <w:rFonts w:asciiTheme="minorHAnsi" w:eastAsia="Times New Roman" w:hAnsiTheme="minorHAnsi" w:cstheme="minorHAnsi"/>
                <w:b w:val="0"/>
                <w:color w:val="2D2D2D"/>
                <w:sz w:val="24"/>
                <w:szCs w:val="24"/>
                <w:u w:val="none"/>
                <w:shd w:val="clear" w:color="auto" w:fill="FFFFFF"/>
              </w:rPr>
              <w:t>3</w:t>
            </w:r>
            <w:r w:rsidR="0024790A" w:rsidRPr="00EB3C04">
              <w:rPr>
                <w:rFonts w:asciiTheme="minorHAnsi" w:eastAsia="Times New Roman" w:hAnsiTheme="minorHAnsi" w:cstheme="minorHAnsi"/>
                <w:b w:val="0"/>
                <w:color w:val="2D2D2D"/>
                <w:sz w:val="24"/>
                <w:szCs w:val="24"/>
                <w:u w:val="none"/>
                <w:shd w:val="clear" w:color="auto" w:fill="FFFFFF"/>
              </w:rPr>
              <w:t>.  Financial Planning and Growth</w:t>
            </w:r>
          </w:p>
          <w:p w14:paraId="70276F93" w14:textId="77777777" w:rsidR="0024790A" w:rsidRPr="00EB3C04" w:rsidRDefault="0024790A" w:rsidP="000505C0">
            <w:pPr>
              <w:numPr>
                <w:ilvl w:val="0"/>
                <w:numId w:val="8"/>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Rationale for financial planning</w:t>
            </w:r>
          </w:p>
          <w:p w14:paraId="33F05D9A" w14:textId="77777777" w:rsidR="0024790A" w:rsidRPr="00EB3C04" w:rsidRDefault="0024790A" w:rsidP="000505C0">
            <w:pPr>
              <w:numPr>
                <w:ilvl w:val="0"/>
                <w:numId w:val="8"/>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Short-term financial planning</w:t>
            </w:r>
          </w:p>
          <w:p w14:paraId="2743B8E2" w14:textId="77777777" w:rsidR="0024790A" w:rsidRPr="00EB3C04" w:rsidRDefault="0024790A" w:rsidP="000505C0">
            <w:pPr>
              <w:numPr>
                <w:ilvl w:val="0"/>
                <w:numId w:val="8"/>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Long-term financial planning using the percentage-of-sales method</w:t>
            </w:r>
          </w:p>
          <w:p w14:paraId="6C188B11" w14:textId="77777777" w:rsidR="0024790A" w:rsidRDefault="0024790A" w:rsidP="000505C0">
            <w:pPr>
              <w:numPr>
                <w:ilvl w:val="0"/>
                <w:numId w:val="8"/>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Sustainable growth rate (SGR)</w:t>
            </w:r>
          </w:p>
          <w:p w14:paraId="049C0AA2" w14:textId="77777777" w:rsidR="0024790A" w:rsidRPr="00EB3C04" w:rsidRDefault="0024790A" w:rsidP="0024790A">
            <w:pPr>
              <w:ind w:left="720"/>
              <w:rPr>
                <w:rFonts w:asciiTheme="minorHAnsi" w:eastAsia="Times New Roman" w:hAnsiTheme="minorHAnsi" w:cstheme="minorHAnsi"/>
                <w:b w:val="0"/>
                <w:color w:val="2D2D2D"/>
                <w:sz w:val="24"/>
                <w:szCs w:val="24"/>
                <w:u w:val="none"/>
                <w:shd w:val="clear" w:color="auto" w:fill="FFFFFF"/>
              </w:rPr>
            </w:pPr>
          </w:p>
          <w:p w14:paraId="71509B47" w14:textId="5AAE9EF1" w:rsidR="0024790A" w:rsidRPr="00EB3C04" w:rsidRDefault="007B4579" w:rsidP="0024790A">
            <w:pPr>
              <w:rPr>
                <w:rFonts w:asciiTheme="minorHAnsi" w:eastAsia="Times New Roman" w:hAnsiTheme="minorHAnsi" w:cstheme="minorHAnsi"/>
                <w:b w:val="0"/>
                <w:color w:val="2D2D2D"/>
                <w:sz w:val="24"/>
                <w:szCs w:val="24"/>
                <w:u w:val="none"/>
                <w:shd w:val="clear" w:color="auto" w:fill="FFFFFF"/>
              </w:rPr>
            </w:pPr>
            <w:r>
              <w:rPr>
                <w:rFonts w:asciiTheme="minorHAnsi" w:eastAsia="Times New Roman" w:hAnsiTheme="minorHAnsi" w:cstheme="minorHAnsi"/>
                <w:b w:val="0"/>
                <w:color w:val="2D2D2D"/>
                <w:sz w:val="24"/>
                <w:szCs w:val="24"/>
                <w:u w:val="none"/>
                <w:shd w:val="clear" w:color="auto" w:fill="FFFFFF"/>
              </w:rPr>
              <w:t>4</w:t>
            </w:r>
            <w:r w:rsidR="0024790A" w:rsidRPr="00EB3C04">
              <w:rPr>
                <w:rFonts w:asciiTheme="minorHAnsi" w:eastAsia="Times New Roman" w:hAnsiTheme="minorHAnsi" w:cstheme="minorHAnsi"/>
                <w:b w:val="0"/>
                <w:color w:val="2D2D2D"/>
                <w:sz w:val="24"/>
                <w:szCs w:val="24"/>
                <w:u w:val="none"/>
                <w:shd w:val="clear" w:color="auto" w:fill="FFFFFF"/>
              </w:rPr>
              <w:t>.  Working Capital Management</w:t>
            </w:r>
          </w:p>
          <w:p w14:paraId="3C61D600" w14:textId="77777777" w:rsidR="0024790A" w:rsidRPr="00EB3C04" w:rsidRDefault="0024790A" w:rsidP="000505C0">
            <w:pPr>
              <w:numPr>
                <w:ilvl w:val="0"/>
                <w:numId w:val="9"/>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Managing cash</w:t>
            </w:r>
          </w:p>
          <w:p w14:paraId="105B845C" w14:textId="77777777" w:rsidR="0024790A" w:rsidRPr="00EB3C04" w:rsidRDefault="0024790A" w:rsidP="000505C0">
            <w:pPr>
              <w:numPr>
                <w:ilvl w:val="1"/>
                <w:numId w:val="32"/>
              </w:numPr>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Payment systems</w:t>
            </w:r>
          </w:p>
          <w:p w14:paraId="21F18667" w14:textId="77777777" w:rsidR="0024790A" w:rsidRPr="00EB3C04" w:rsidRDefault="0024790A" w:rsidP="000505C0">
            <w:pPr>
              <w:numPr>
                <w:ilvl w:val="1"/>
                <w:numId w:val="32"/>
              </w:numPr>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Effective cash management practices</w:t>
            </w:r>
          </w:p>
          <w:p w14:paraId="49BDF41C" w14:textId="77777777" w:rsidR="0024790A" w:rsidRPr="00EB3C04" w:rsidRDefault="0024790A" w:rsidP="000505C0">
            <w:pPr>
              <w:numPr>
                <w:ilvl w:val="2"/>
                <w:numId w:val="33"/>
              </w:numPr>
              <w:tabs>
                <w:tab w:val="clear" w:pos="2160"/>
                <w:tab w:val="num" w:pos="168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Electronic payment</w:t>
            </w:r>
          </w:p>
          <w:p w14:paraId="174AB615" w14:textId="77777777" w:rsidR="0024790A" w:rsidRPr="00EB3C04" w:rsidRDefault="0024790A" w:rsidP="000505C0">
            <w:pPr>
              <w:numPr>
                <w:ilvl w:val="2"/>
                <w:numId w:val="33"/>
              </w:numPr>
              <w:tabs>
                <w:tab w:val="clear" w:pos="2160"/>
                <w:tab w:val="num" w:pos="168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Managing the float</w:t>
            </w:r>
          </w:p>
          <w:p w14:paraId="28380A4A" w14:textId="77777777" w:rsidR="0024790A" w:rsidRPr="00EB3C04" w:rsidRDefault="0024790A" w:rsidP="000505C0">
            <w:pPr>
              <w:numPr>
                <w:ilvl w:val="2"/>
                <w:numId w:val="33"/>
              </w:numPr>
              <w:tabs>
                <w:tab w:val="clear" w:pos="2160"/>
                <w:tab w:val="num" w:pos="168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Cash concentration</w:t>
            </w:r>
          </w:p>
          <w:p w14:paraId="08EF7760"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Investing temporary cash surpluses</w:t>
            </w:r>
          </w:p>
          <w:p w14:paraId="65C36415"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Treasury bills</w:t>
            </w:r>
          </w:p>
          <w:p w14:paraId="13E35B0A"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Term deposits and certificates of deposit</w:t>
            </w:r>
          </w:p>
          <w:p w14:paraId="14284735"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Bearer deposit notes</w:t>
            </w:r>
          </w:p>
          <w:p w14:paraId="6840750C"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Commercial paper, asset-backed commercial paper, sales finance paper, and bankers’ acceptances</w:t>
            </w:r>
          </w:p>
          <w:p w14:paraId="0BD7416D"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Short-dated bonds</w:t>
            </w:r>
          </w:p>
          <w:p w14:paraId="5BF5B3EF"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Repurchase agreements</w:t>
            </w:r>
          </w:p>
          <w:p w14:paraId="7C04C0A5" w14:textId="77777777" w:rsidR="0024790A" w:rsidRPr="00EB3C04" w:rsidRDefault="0024790A" w:rsidP="000505C0">
            <w:pPr>
              <w:numPr>
                <w:ilvl w:val="2"/>
                <w:numId w:val="42"/>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Euro deposits</w:t>
            </w:r>
          </w:p>
          <w:p w14:paraId="5D5F7E90" w14:textId="77777777" w:rsidR="0024790A" w:rsidRPr="00EB3C04" w:rsidRDefault="0024790A" w:rsidP="000505C0">
            <w:pPr>
              <w:numPr>
                <w:ilvl w:val="2"/>
                <w:numId w:val="42"/>
              </w:numPr>
              <w:tabs>
                <w:tab w:val="clear" w:pos="2160"/>
                <w:tab w:val="num" w:pos="1320"/>
              </w:tabs>
              <w:ind w:left="132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Money market funds</w:t>
            </w:r>
          </w:p>
          <w:p w14:paraId="338747A2" w14:textId="77777777" w:rsidR="0024790A" w:rsidRPr="00EB3C04" w:rsidRDefault="0024790A" w:rsidP="000505C0">
            <w:pPr>
              <w:numPr>
                <w:ilvl w:val="0"/>
                <w:numId w:val="9"/>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Managing accounts receivable</w:t>
            </w:r>
          </w:p>
          <w:p w14:paraId="67D3EC37"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Types of credit</w:t>
            </w:r>
          </w:p>
          <w:p w14:paraId="4819D611"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Credit terms</w:t>
            </w:r>
          </w:p>
          <w:p w14:paraId="22362D15"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Credit approvals</w:t>
            </w:r>
          </w:p>
          <w:p w14:paraId="136C4F7B"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Collections</w:t>
            </w:r>
          </w:p>
          <w:p w14:paraId="3D31D4C9"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Credit monitoring</w:t>
            </w:r>
          </w:p>
          <w:p w14:paraId="3BBCF837" w14:textId="77777777" w:rsidR="0024790A" w:rsidRPr="00EB3C04" w:rsidRDefault="0024790A" w:rsidP="000505C0">
            <w:pPr>
              <w:numPr>
                <w:ilvl w:val="0"/>
                <w:numId w:val="9"/>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Managing inventory</w:t>
            </w:r>
          </w:p>
          <w:p w14:paraId="5B8B1D9C" w14:textId="77777777" w:rsidR="0024790A" w:rsidRPr="00EB3C04" w:rsidRDefault="0024790A" w:rsidP="000505C0">
            <w:pPr>
              <w:numPr>
                <w:ilvl w:val="1"/>
                <w:numId w:val="9"/>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Inventory management techniques</w:t>
            </w:r>
          </w:p>
          <w:p w14:paraId="02FBDC64"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Supply chain technology</w:t>
            </w:r>
          </w:p>
          <w:p w14:paraId="13429F54"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ABC analysis</w:t>
            </w:r>
          </w:p>
          <w:p w14:paraId="7DE7196E"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Economic order quantity (EOQ)</w:t>
            </w:r>
          </w:p>
          <w:p w14:paraId="25C77F7B"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Materials resource planning (MRP)</w:t>
            </w:r>
          </w:p>
          <w:p w14:paraId="71726886"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Just-in-time (JIT) inventory and manufacturing</w:t>
            </w:r>
          </w:p>
          <w:p w14:paraId="4D20CA86"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Vendor-managed inventory (VMI)</w:t>
            </w:r>
          </w:p>
          <w:p w14:paraId="7E065B9B"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Concurrent engineering</w:t>
            </w:r>
          </w:p>
          <w:p w14:paraId="54F53CD9"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Outsourcing</w:t>
            </w:r>
          </w:p>
          <w:p w14:paraId="5F2C2E44" w14:textId="77777777" w:rsidR="0024790A" w:rsidRPr="00EB3C04" w:rsidRDefault="0024790A" w:rsidP="000505C0">
            <w:pPr>
              <w:numPr>
                <w:ilvl w:val="2"/>
                <w:numId w:val="34"/>
              </w:numPr>
              <w:tabs>
                <w:tab w:val="num" w:pos="1050"/>
              </w:tabs>
              <w:ind w:left="150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Lean manufacturing</w:t>
            </w:r>
          </w:p>
          <w:p w14:paraId="3CF7D3F3" w14:textId="77777777" w:rsidR="0024790A" w:rsidRPr="00EB3C04" w:rsidRDefault="0024790A" w:rsidP="000505C0">
            <w:pPr>
              <w:numPr>
                <w:ilvl w:val="1"/>
                <w:numId w:val="9"/>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Key performance indicators</w:t>
            </w:r>
          </w:p>
          <w:p w14:paraId="0A8AE4AD" w14:textId="77777777" w:rsidR="0024790A" w:rsidRPr="00EB3C04" w:rsidRDefault="0024790A" w:rsidP="000505C0">
            <w:pPr>
              <w:numPr>
                <w:ilvl w:val="0"/>
                <w:numId w:val="9"/>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Sources of temporary financing</w:t>
            </w:r>
          </w:p>
          <w:p w14:paraId="0D737AB2"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Specific assignment of accounts receivable</w:t>
            </w:r>
          </w:p>
          <w:p w14:paraId="2236BAD5"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Specific assignment of inventory</w:t>
            </w:r>
          </w:p>
          <w:p w14:paraId="28AA51C0"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Purchase order financing</w:t>
            </w:r>
          </w:p>
          <w:p w14:paraId="290EFA75"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Factoring and reverse factoring</w:t>
            </w:r>
          </w:p>
          <w:p w14:paraId="3EAB2DD3"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Securitization</w:t>
            </w:r>
          </w:p>
          <w:p w14:paraId="4809D0E4"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Commercial paper and banker’s acceptances</w:t>
            </w:r>
          </w:p>
          <w:p w14:paraId="3B9FA17B" w14:textId="77777777" w:rsidR="0024790A" w:rsidRPr="00EB3C04" w:rsidRDefault="0024790A" w:rsidP="000505C0">
            <w:pPr>
              <w:numPr>
                <w:ilvl w:val="1"/>
                <w:numId w:val="9"/>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lang w:val="en-GB"/>
              </w:rPr>
              <w:t>Letters of credit</w:t>
            </w:r>
          </w:p>
          <w:p w14:paraId="7602BFAD" w14:textId="77777777" w:rsidR="0024790A" w:rsidRPr="00EB3C04" w:rsidRDefault="0024790A" w:rsidP="0024790A">
            <w:pPr>
              <w:ind w:left="1440"/>
              <w:rPr>
                <w:rFonts w:asciiTheme="minorHAnsi" w:eastAsia="Times New Roman" w:hAnsiTheme="minorHAnsi" w:cstheme="minorHAnsi"/>
                <w:b w:val="0"/>
                <w:color w:val="2D2D2D"/>
                <w:sz w:val="24"/>
                <w:szCs w:val="24"/>
                <w:u w:val="none"/>
                <w:shd w:val="clear" w:color="auto" w:fill="FFFFFF"/>
              </w:rPr>
            </w:pPr>
          </w:p>
          <w:p w14:paraId="62804170" w14:textId="09D0FB7C" w:rsidR="0024790A" w:rsidRPr="00EB3C04" w:rsidRDefault="007B4579" w:rsidP="0024790A">
            <w:pPr>
              <w:rPr>
                <w:rFonts w:asciiTheme="minorHAnsi" w:eastAsia="Times New Roman" w:hAnsiTheme="minorHAnsi" w:cstheme="minorHAnsi"/>
                <w:b w:val="0"/>
                <w:color w:val="2D2D2D"/>
                <w:sz w:val="24"/>
                <w:szCs w:val="24"/>
                <w:u w:val="none"/>
                <w:shd w:val="clear" w:color="auto" w:fill="FFFFFF"/>
              </w:rPr>
            </w:pPr>
            <w:r>
              <w:rPr>
                <w:rFonts w:asciiTheme="minorHAnsi" w:eastAsia="Times New Roman" w:hAnsiTheme="minorHAnsi" w:cstheme="minorHAnsi"/>
                <w:b w:val="0"/>
                <w:color w:val="2D2D2D"/>
                <w:sz w:val="24"/>
                <w:szCs w:val="24"/>
                <w:u w:val="none"/>
                <w:shd w:val="clear" w:color="auto" w:fill="FFFFFF"/>
              </w:rPr>
              <w:lastRenderedPageBreak/>
              <w:t>5</w:t>
            </w:r>
            <w:r w:rsidR="0024790A" w:rsidRPr="00EB3C04">
              <w:rPr>
                <w:rFonts w:asciiTheme="minorHAnsi" w:eastAsia="Times New Roman" w:hAnsiTheme="minorHAnsi" w:cstheme="minorHAnsi"/>
                <w:b w:val="0"/>
                <w:color w:val="2D2D2D"/>
                <w:sz w:val="24"/>
                <w:szCs w:val="24"/>
                <w:u w:val="none"/>
                <w:shd w:val="clear" w:color="auto" w:fill="FFFFFF"/>
              </w:rPr>
              <w:t>.  Sources of Permanent Debt and Equity Financing</w:t>
            </w:r>
          </w:p>
          <w:p w14:paraId="6D5B4D9C" w14:textId="77777777" w:rsidR="0024790A" w:rsidRPr="00EB3C04" w:rsidRDefault="0024790A" w:rsidP="000505C0">
            <w:pPr>
              <w:numPr>
                <w:ilvl w:val="0"/>
                <w:numId w:val="10"/>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Commercial lending</w:t>
            </w:r>
          </w:p>
          <w:p w14:paraId="62BD5766"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Commercial lenders</w:t>
            </w:r>
          </w:p>
          <w:p w14:paraId="14CEDC78"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Lending and monitoring process</w:t>
            </w:r>
          </w:p>
          <w:p w14:paraId="5EEC9719"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Syndicated loans and loan participations</w:t>
            </w:r>
          </w:p>
          <w:p w14:paraId="356D7A11"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Mezzanine financing</w:t>
            </w:r>
          </w:p>
          <w:p w14:paraId="43F0ABCD"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Bridge loans</w:t>
            </w:r>
          </w:p>
          <w:p w14:paraId="02FBB836"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Project financing</w:t>
            </w:r>
          </w:p>
          <w:p w14:paraId="0DD68FD7" w14:textId="77777777" w:rsidR="0024790A" w:rsidRPr="00EB3C04" w:rsidRDefault="0024790A" w:rsidP="000505C0">
            <w:pPr>
              <w:numPr>
                <w:ilvl w:val="1"/>
                <w:numId w:val="35"/>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Securitization</w:t>
            </w:r>
          </w:p>
          <w:p w14:paraId="7B58E2A0" w14:textId="77777777" w:rsidR="0024790A" w:rsidRPr="00EB3C04" w:rsidRDefault="0024790A" w:rsidP="000505C0">
            <w:pPr>
              <w:numPr>
                <w:ilvl w:val="0"/>
                <w:numId w:val="10"/>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Leasing</w:t>
            </w:r>
          </w:p>
          <w:p w14:paraId="1BFB1BD3" w14:textId="77777777" w:rsidR="0024790A" w:rsidRPr="00EB3C04" w:rsidRDefault="0024790A" w:rsidP="000505C0">
            <w:pPr>
              <w:numPr>
                <w:ilvl w:val="1"/>
                <w:numId w:val="36"/>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Operating versus financial leases</w:t>
            </w:r>
          </w:p>
          <w:p w14:paraId="0B671F55" w14:textId="77777777" w:rsidR="0024790A" w:rsidRPr="00EB3C04" w:rsidRDefault="0024790A" w:rsidP="000505C0">
            <w:pPr>
              <w:numPr>
                <w:ilvl w:val="1"/>
                <w:numId w:val="36"/>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Pros and cons of leasing</w:t>
            </w:r>
          </w:p>
          <w:p w14:paraId="0E29C3C4" w14:textId="77777777" w:rsidR="0024790A" w:rsidRPr="00EB3C04" w:rsidRDefault="0024790A" w:rsidP="000505C0">
            <w:pPr>
              <w:numPr>
                <w:ilvl w:val="1"/>
                <w:numId w:val="36"/>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Accounting for leases</w:t>
            </w:r>
          </w:p>
          <w:p w14:paraId="7347FF68" w14:textId="77777777" w:rsidR="0024790A" w:rsidRPr="00EB3C04" w:rsidRDefault="0024790A" w:rsidP="000505C0">
            <w:pPr>
              <w:numPr>
                <w:ilvl w:val="2"/>
                <w:numId w:val="43"/>
              </w:numPr>
              <w:tabs>
                <w:tab w:val="clear" w:pos="2160"/>
                <w:tab w:val="num" w:pos="1410"/>
              </w:tabs>
              <w:ind w:left="1680" w:hanging="5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Lease capitalization</w:t>
            </w:r>
          </w:p>
          <w:p w14:paraId="2C1E2461" w14:textId="77777777" w:rsidR="0024790A" w:rsidRPr="00EB3C04" w:rsidRDefault="0024790A" w:rsidP="000505C0">
            <w:pPr>
              <w:numPr>
                <w:ilvl w:val="2"/>
                <w:numId w:val="43"/>
              </w:numPr>
              <w:tabs>
                <w:tab w:val="clear" w:pos="2160"/>
                <w:tab w:val="num" w:pos="1410"/>
              </w:tabs>
              <w:ind w:left="1680" w:hanging="5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Tax law changes</w:t>
            </w:r>
          </w:p>
          <w:p w14:paraId="1B6670C9" w14:textId="77777777" w:rsidR="0024790A" w:rsidRPr="00EB3C04" w:rsidRDefault="0024790A" w:rsidP="000505C0">
            <w:pPr>
              <w:numPr>
                <w:ilvl w:val="1"/>
                <w:numId w:val="37"/>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Calculating lease payments</w:t>
            </w:r>
          </w:p>
          <w:p w14:paraId="440196CD" w14:textId="77777777" w:rsidR="0024790A" w:rsidRPr="00EB3C04" w:rsidRDefault="0024790A" w:rsidP="000505C0">
            <w:pPr>
              <w:numPr>
                <w:ilvl w:val="1"/>
                <w:numId w:val="37"/>
              </w:numPr>
              <w:tabs>
                <w:tab w:val="clear" w:pos="1440"/>
                <w:tab w:val="num" w:pos="105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Lease or buy decision</w:t>
            </w:r>
          </w:p>
          <w:p w14:paraId="0C0310C4" w14:textId="77777777" w:rsidR="0024790A" w:rsidRPr="00EB3C04" w:rsidRDefault="0024790A" w:rsidP="000505C0">
            <w:pPr>
              <w:numPr>
                <w:ilvl w:val="1"/>
                <w:numId w:val="37"/>
              </w:numPr>
              <w:tabs>
                <w:tab w:val="clear" w:pos="1440"/>
                <w:tab w:val="num" w:pos="1050"/>
              </w:tabs>
              <w:ind w:left="1050" w:hanging="27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Current tax law</w:t>
            </w:r>
          </w:p>
          <w:p w14:paraId="6CA6DDF5" w14:textId="77777777" w:rsidR="0024790A" w:rsidRPr="00EB3C04" w:rsidRDefault="0024790A" w:rsidP="000505C0">
            <w:pPr>
              <w:numPr>
                <w:ilvl w:val="0"/>
                <w:numId w:val="10"/>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Corporate bond financing</w:t>
            </w:r>
          </w:p>
          <w:p w14:paraId="589DE707" w14:textId="77777777" w:rsidR="0024790A" w:rsidRPr="00EB3C04" w:rsidRDefault="0024790A" w:rsidP="000505C0">
            <w:pPr>
              <w:numPr>
                <w:ilvl w:val="1"/>
                <w:numId w:val="38"/>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Bonds versus commercial loans</w:t>
            </w:r>
          </w:p>
          <w:p w14:paraId="3CB4EE74" w14:textId="77777777" w:rsidR="0024790A" w:rsidRPr="00EB3C04" w:rsidRDefault="0024790A" w:rsidP="000505C0">
            <w:pPr>
              <w:numPr>
                <w:ilvl w:val="1"/>
                <w:numId w:val="38"/>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Public and private placements</w:t>
            </w:r>
          </w:p>
          <w:p w14:paraId="042CBC19" w14:textId="77777777" w:rsidR="0024790A" w:rsidRPr="00EB3C04" w:rsidRDefault="0024790A" w:rsidP="000505C0">
            <w:pPr>
              <w:numPr>
                <w:ilvl w:val="1"/>
                <w:numId w:val="38"/>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Bond provisions</w:t>
            </w:r>
          </w:p>
          <w:p w14:paraId="4338CA66" w14:textId="77777777" w:rsidR="0024790A" w:rsidRPr="00EB3C04" w:rsidRDefault="0024790A" w:rsidP="000505C0">
            <w:pPr>
              <w:numPr>
                <w:ilvl w:val="2"/>
                <w:numId w:val="39"/>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Interest rates and currency</w:t>
            </w:r>
          </w:p>
          <w:p w14:paraId="74B9712F" w14:textId="77777777" w:rsidR="0024790A" w:rsidRPr="00EB3C04" w:rsidRDefault="0024790A" w:rsidP="000505C0">
            <w:pPr>
              <w:numPr>
                <w:ilvl w:val="2"/>
                <w:numId w:val="39"/>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Covenants</w:t>
            </w:r>
          </w:p>
          <w:p w14:paraId="093818E1" w14:textId="77777777" w:rsidR="0024790A" w:rsidRPr="00EB3C04" w:rsidRDefault="0024790A" w:rsidP="000505C0">
            <w:pPr>
              <w:numPr>
                <w:ilvl w:val="2"/>
                <w:numId w:val="39"/>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Call options and conversion features</w:t>
            </w:r>
          </w:p>
          <w:p w14:paraId="481F2C81" w14:textId="77777777" w:rsidR="0024790A" w:rsidRPr="00EB3C04" w:rsidRDefault="0024790A" w:rsidP="000505C0">
            <w:pPr>
              <w:numPr>
                <w:ilvl w:val="2"/>
                <w:numId w:val="39"/>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Bond sinking and purchase funds</w:t>
            </w:r>
          </w:p>
          <w:p w14:paraId="6EFB369D" w14:textId="77777777" w:rsidR="0024790A" w:rsidRPr="00EB3C04" w:rsidRDefault="0024790A" w:rsidP="000505C0">
            <w:pPr>
              <w:numPr>
                <w:ilvl w:val="2"/>
                <w:numId w:val="39"/>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Credit ratings</w:t>
            </w:r>
          </w:p>
          <w:p w14:paraId="366B1880" w14:textId="77777777" w:rsidR="0024790A" w:rsidRPr="00EB3C04" w:rsidRDefault="0024790A" w:rsidP="000505C0">
            <w:pPr>
              <w:numPr>
                <w:ilvl w:val="2"/>
                <w:numId w:val="39"/>
              </w:numPr>
              <w:tabs>
                <w:tab w:val="clear" w:pos="2160"/>
                <w:tab w:val="num" w:pos="1590"/>
              </w:tabs>
              <w:ind w:left="1680" w:hanging="45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Collateral, subordination, and guarantees</w:t>
            </w:r>
          </w:p>
          <w:p w14:paraId="4597BCE4" w14:textId="77777777" w:rsidR="0024790A" w:rsidRPr="00EB3C04" w:rsidRDefault="0024790A" w:rsidP="000505C0">
            <w:pPr>
              <w:numPr>
                <w:ilvl w:val="0"/>
                <w:numId w:val="10"/>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Equity financing</w:t>
            </w:r>
          </w:p>
          <w:p w14:paraId="69366139"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Self-funding</w:t>
            </w:r>
          </w:p>
          <w:p w14:paraId="663CC536"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Crowdfunding</w:t>
            </w:r>
          </w:p>
          <w:p w14:paraId="44668BF9"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Private equity</w:t>
            </w:r>
          </w:p>
          <w:p w14:paraId="2D14A3C1"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Angels, incubators, accelerators</w:t>
            </w:r>
          </w:p>
          <w:p w14:paraId="0BDAE3DB"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Venture capital</w:t>
            </w:r>
          </w:p>
          <w:p w14:paraId="6763F9A2"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Franchising</w:t>
            </w:r>
          </w:p>
          <w:p w14:paraId="016CBB15"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Retained earnings</w:t>
            </w:r>
          </w:p>
          <w:p w14:paraId="4351D870"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Common and preferred shares</w:t>
            </w:r>
          </w:p>
          <w:p w14:paraId="35E9294A"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Going public and public equity placements</w:t>
            </w:r>
          </w:p>
          <w:p w14:paraId="4CE1D0B4"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Private equity placements</w:t>
            </w:r>
          </w:p>
          <w:p w14:paraId="0E10548C"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Dividend re-investment plans and stock purchase plans</w:t>
            </w:r>
          </w:p>
          <w:p w14:paraId="23883975"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Rights offerings</w:t>
            </w:r>
          </w:p>
          <w:p w14:paraId="3C10F2A1"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Limited partnerships</w:t>
            </w:r>
          </w:p>
          <w:p w14:paraId="7138DC02"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Joint ventures and strategic alliances</w:t>
            </w:r>
          </w:p>
          <w:p w14:paraId="2D5D2A8B" w14:textId="77777777" w:rsidR="0024790A" w:rsidRPr="00EB3C04" w:rsidRDefault="0024790A" w:rsidP="000505C0">
            <w:pPr>
              <w:numPr>
                <w:ilvl w:val="1"/>
                <w:numId w:val="40"/>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Employee stock ownership plans (ESOP)</w:t>
            </w:r>
          </w:p>
          <w:p w14:paraId="6A35ED09" w14:textId="77777777" w:rsidR="0024790A" w:rsidRPr="00EB3C04" w:rsidRDefault="0024790A" w:rsidP="000505C0">
            <w:pPr>
              <w:numPr>
                <w:ilvl w:val="0"/>
                <w:numId w:val="10"/>
              </w:numPr>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Government financing programs</w:t>
            </w:r>
          </w:p>
          <w:p w14:paraId="31D36A9B" w14:textId="77777777" w:rsidR="0024790A" w:rsidRPr="00EB3C04" w:rsidRDefault="0024790A" w:rsidP="000505C0">
            <w:pPr>
              <w:numPr>
                <w:ilvl w:val="1"/>
                <w:numId w:val="41"/>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lastRenderedPageBreak/>
              <w:t>Business Development Bank of Canada (BDBC)</w:t>
            </w:r>
          </w:p>
          <w:p w14:paraId="16AD8B36" w14:textId="77777777" w:rsidR="0024790A" w:rsidRPr="00EB3C04" w:rsidRDefault="0024790A" w:rsidP="000505C0">
            <w:pPr>
              <w:numPr>
                <w:ilvl w:val="1"/>
                <w:numId w:val="41"/>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Export Development Corporation (EDC)</w:t>
            </w:r>
          </w:p>
          <w:p w14:paraId="1AC2545C" w14:textId="77777777" w:rsidR="0024790A" w:rsidRDefault="0024790A" w:rsidP="000505C0">
            <w:pPr>
              <w:numPr>
                <w:ilvl w:val="1"/>
                <w:numId w:val="41"/>
              </w:numPr>
              <w:tabs>
                <w:tab w:val="clear" w:pos="1440"/>
                <w:tab w:val="num" w:pos="1140"/>
              </w:tabs>
              <w:ind w:left="1140"/>
              <w:rPr>
                <w:rFonts w:asciiTheme="minorHAnsi" w:eastAsia="Times New Roman" w:hAnsiTheme="minorHAnsi" w:cstheme="minorHAnsi"/>
                <w:b w:val="0"/>
                <w:color w:val="2D2D2D"/>
                <w:sz w:val="24"/>
                <w:szCs w:val="24"/>
                <w:u w:val="none"/>
                <w:shd w:val="clear" w:color="auto" w:fill="FFFFFF"/>
              </w:rPr>
            </w:pPr>
            <w:r w:rsidRPr="00EB3C04">
              <w:rPr>
                <w:rFonts w:asciiTheme="minorHAnsi" w:eastAsia="Times New Roman" w:hAnsiTheme="minorHAnsi" w:cstheme="minorHAnsi"/>
                <w:b w:val="0"/>
                <w:color w:val="2D2D2D"/>
                <w:sz w:val="24"/>
                <w:szCs w:val="24"/>
                <w:u w:val="none"/>
                <w:shd w:val="clear" w:color="auto" w:fill="FFFFFF"/>
              </w:rPr>
              <w:t>Other government lending programs</w:t>
            </w:r>
          </w:p>
          <w:p w14:paraId="2C2B1AAD" w14:textId="77777777" w:rsidR="0024790A" w:rsidRPr="00EB3C04" w:rsidRDefault="0024790A" w:rsidP="0024790A">
            <w:pPr>
              <w:ind w:left="1440"/>
              <w:rPr>
                <w:rFonts w:asciiTheme="minorHAnsi" w:eastAsia="Times New Roman" w:hAnsiTheme="minorHAnsi" w:cstheme="minorHAnsi"/>
                <w:b w:val="0"/>
                <w:color w:val="2D2D2D"/>
                <w:sz w:val="24"/>
                <w:szCs w:val="24"/>
                <w:u w:val="none"/>
                <w:shd w:val="clear" w:color="auto" w:fill="FFFFFF"/>
              </w:rPr>
            </w:pPr>
          </w:p>
          <w:p w14:paraId="0CAB1CBE" w14:textId="6AF53877" w:rsidR="0024790A" w:rsidRPr="00EB3C04" w:rsidRDefault="007B4579" w:rsidP="0024790A">
            <w:pPr>
              <w:rPr>
                <w:rFonts w:asciiTheme="minorHAnsi" w:eastAsia="Times New Roman" w:hAnsiTheme="minorHAnsi" w:cstheme="minorHAnsi"/>
                <w:b w:val="0"/>
                <w:color w:val="2D2D2D"/>
                <w:sz w:val="24"/>
                <w:szCs w:val="24"/>
                <w:u w:val="none"/>
                <w:shd w:val="clear" w:color="auto" w:fill="FFFFFF"/>
              </w:rPr>
            </w:pPr>
            <w:r>
              <w:rPr>
                <w:rFonts w:asciiTheme="minorHAnsi" w:eastAsia="Times New Roman" w:hAnsiTheme="minorHAnsi" w:cstheme="minorHAnsi"/>
                <w:b w:val="0"/>
                <w:color w:val="2D2D2D"/>
                <w:sz w:val="24"/>
                <w:szCs w:val="24"/>
                <w:u w:val="none"/>
                <w:shd w:val="clear" w:color="auto" w:fill="FFFFFF"/>
              </w:rPr>
              <w:t>6</w:t>
            </w:r>
            <w:r w:rsidR="0024790A" w:rsidRPr="00EB3C04">
              <w:rPr>
                <w:rFonts w:asciiTheme="minorHAnsi" w:eastAsia="Times New Roman" w:hAnsiTheme="minorHAnsi" w:cstheme="minorHAnsi"/>
                <w:b w:val="0"/>
                <w:color w:val="2D2D2D"/>
                <w:sz w:val="24"/>
                <w:szCs w:val="24"/>
                <w:u w:val="none"/>
                <w:shd w:val="clear" w:color="auto" w:fill="FFFFFF"/>
              </w:rPr>
              <w:t>.  Capital Budgeting</w:t>
            </w:r>
            <w:r w:rsidR="002A3FA8">
              <w:rPr>
                <w:rFonts w:asciiTheme="minorHAnsi" w:eastAsia="Times New Roman" w:hAnsiTheme="minorHAnsi" w:cstheme="minorHAnsi"/>
                <w:b w:val="0"/>
                <w:color w:val="2D2D2D"/>
                <w:sz w:val="24"/>
                <w:szCs w:val="24"/>
                <w:u w:val="none"/>
                <w:shd w:val="clear" w:color="auto" w:fill="FFFFFF"/>
              </w:rPr>
              <w:t xml:space="preserve"> Under Uncertainty</w:t>
            </w:r>
          </w:p>
          <w:p w14:paraId="1B7A59DA"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Pr>
                <w:rFonts w:asciiTheme="minorHAnsi" w:eastAsia="Times New Roman" w:hAnsiTheme="minorHAnsi" w:cstheme="minorHAnsi"/>
                <w:b w:val="0"/>
                <w:color w:val="2D2D2D"/>
                <w:sz w:val="24"/>
                <w:szCs w:val="24"/>
                <w:u w:val="none"/>
                <w:lang w:val="en-GB"/>
              </w:rPr>
              <w:t>Review of the c</w:t>
            </w:r>
            <w:r w:rsidRPr="00EB3C04">
              <w:rPr>
                <w:rFonts w:asciiTheme="minorHAnsi" w:eastAsia="Times New Roman" w:hAnsiTheme="minorHAnsi" w:cstheme="minorHAnsi"/>
                <w:b w:val="0"/>
                <w:color w:val="2D2D2D"/>
                <w:sz w:val="24"/>
                <w:szCs w:val="24"/>
                <w:u w:val="none"/>
                <w:lang w:val="en-GB"/>
              </w:rPr>
              <w:t>apital budgeting process</w:t>
            </w:r>
          </w:p>
          <w:p w14:paraId="3FD5B5D8" w14:textId="77777777" w:rsidR="0024790A" w:rsidRPr="00EB3C04" w:rsidRDefault="0024790A" w:rsidP="000505C0">
            <w:pPr>
              <w:numPr>
                <w:ilvl w:val="0"/>
                <w:numId w:val="11"/>
              </w:numPr>
              <w:shd w:val="clear" w:color="auto" w:fill="FFFFFF"/>
              <w:ind w:left="108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Project evaluation methods</w:t>
            </w:r>
          </w:p>
          <w:p w14:paraId="04ADFB69" w14:textId="77777777" w:rsidR="0024790A" w:rsidRPr="00EB3C04" w:rsidRDefault="0024790A" w:rsidP="000505C0">
            <w:pPr>
              <w:numPr>
                <w:ilvl w:val="1"/>
                <w:numId w:val="27"/>
              </w:numPr>
              <w:shd w:val="clear" w:color="auto" w:fill="FFFFFF"/>
              <w:tabs>
                <w:tab w:val="clear" w:pos="1440"/>
                <w:tab w:val="num" w:pos="1050"/>
              </w:tabs>
              <w:ind w:left="150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Payback period</w:t>
            </w:r>
          </w:p>
          <w:p w14:paraId="219299C1" w14:textId="77777777" w:rsidR="0024790A" w:rsidRPr="00EB3C04" w:rsidRDefault="0024790A" w:rsidP="000505C0">
            <w:pPr>
              <w:numPr>
                <w:ilvl w:val="1"/>
                <w:numId w:val="27"/>
              </w:numPr>
              <w:shd w:val="clear" w:color="auto" w:fill="FFFFFF"/>
              <w:tabs>
                <w:tab w:val="clear" w:pos="1440"/>
                <w:tab w:val="num" w:pos="1050"/>
              </w:tabs>
              <w:ind w:left="150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Discounted payback period</w:t>
            </w:r>
          </w:p>
          <w:p w14:paraId="102133D8" w14:textId="77777777" w:rsidR="0024790A" w:rsidRPr="00EB3C04" w:rsidRDefault="0024790A" w:rsidP="000505C0">
            <w:pPr>
              <w:numPr>
                <w:ilvl w:val="1"/>
                <w:numId w:val="27"/>
              </w:numPr>
              <w:shd w:val="clear" w:color="auto" w:fill="FFFFFF"/>
              <w:tabs>
                <w:tab w:val="clear" w:pos="1440"/>
                <w:tab w:val="num" w:pos="1050"/>
              </w:tabs>
              <w:ind w:left="150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Accounting rate of return (ARR)</w:t>
            </w:r>
          </w:p>
          <w:p w14:paraId="64CE97D2" w14:textId="77777777" w:rsidR="0024790A" w:rsidRPr="00EB3C04" w:rsidRDefault="0024790A" w:rsidP="000505C0">
            <w:pPr>
              <w:numPr>
                <w:ilvl w:val="1"/>
                <w:numId w:val="27"/>
              </w:numPr>
              <w:shd w:val="clear" w:color="auto" w:fill="FFFFFF"/>
              <w:tabs>
                <w:tab w:val="clear" w:pos="1440"/>
                <w:tab w:val="num" w:pos="1050"/>
              </w:tabs>
              <w:ind w:left="150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Net present value (NPV)</w:t>
            </w:r>
          </w:p>
          <w:p w14:paraId="64A32F86" w14:textId="77777777" w:rsidR="0024790A" w:rsidRPr="00EB3C04" w:rsidRDefault="0024790A" w:rsidP="000505C0">
            <w:pPr>
              <w:numPr>
                <w:ilvl w:val="1"/>
                <w:numId w:val="27"/>
              </w:numPr>
              <w:shd w:val="clear" w:color="auto" w:fill="FFFFFF"/>
              <w:tabs>
                <w:tab w:val="clear" w:pos="1440"/>
                <w:tab w:val="num" w:pos="1050"/>
              </w:tabs>
              <w:ind w:left="150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Internal rate of return (IRR)</w:t>
            </w:r>
          </w:p>
          <w:p w14:paraId="63631885" w14:textId="77777777" w:rsidR="0024790A" w:rsidRPr="00EB3C04" w:rsidRDefault="0024790A" w:rsidP="000505C0">
            <w:pPr>
              <w:numPr>
                <w:ilvl w:val="1"/>
                <w:numId w:val="27"/>
              </w:numPr>
              <w:shd w:val="clear" w:color="auto" w:fill="FFFFFF"/>
              <w:tabs>
                <w:tab w:val="clear" w:pos="1440"/>
                <w:tab w:val="num" w:pos="1050"/>
              </w:tabs>
              <w:ind w:left="150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Profitability index (PI)</w:t>
            </w:r>
          </w:p>
          <w:p w14:paraId="6BB09548"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Mathematical problems with IRR</w:t>
            </w:r>
          </w:p>
          <w:p w14:paraId="705BEBBB"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Applying NPV analysis</w:t>
            </w:r>
          </w:p>
          <w:p w14:paraId="116F5973" w14:textId="77777777" w:rsidR="0024790A" w:rsidRPr="00EB3C04" w:rsidRDefault="0024790A" w:rsidP="000505C0">
            <w:pPr>
              <w:numPr>
                <w:ilvl w:val="1"/>
                <w:numId w:val="28"/>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Types of capital budgeting decisions</w:t>
            </w:r>
          </w:p>
          <w:p w14:paraId="77C755A2" w14:textId="77777777" w:rsidR="0024790A" w:rsidRPr="00EB3C04" w:rsidRDefault="0024790A" w:rsidP="000505C0">
            <w:pPr>
              <w:numPr>
                <w:ilvl w:val="1"/>
                <w:numId w:val="28"/>
              </w:numPr>
              <w:shd w:val="clear" w:color="auto" w:fill="FFFFFF"/>
              <w:tabs>
                <w:tab w:val="clear" w:pos="1440"/>
                <w:tab w:val="num" w:pos="105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NPV checklist</w:t>
            </w:r>
            <w:r>
              <w:rPr>
                <w:rFonts w:asciiTheme="minorHAnsi" w:eastAsia="Times New Roman" w:hAnsiTheme="minorHAnsi" w:cstheme="minorHAnsi"/>
                <w:b w:val="0"/>
                <w:color w:val="2D2D2D"/>
                <w:sz w:val="24"/>
                <w:szCs w:val="24"/>
                <w:u w:val="none"/>
                <w:lang w:val="en-GB"/>
              </w:rPr>
              <w:t xml:space="preserve"> including initial, recurring, and terminal cash flows</w:t>
            </w:r>
          </w:p>
          <w:p w14:paraId="352D2548" w14:textId="77777777" w:rsidR="0024790A" w:rsidRPr="00EB3C04" w:rsidRDefault="0024790A" w:rsidP="000505C0">
            <w:pPr>
              <w:numPr>
                <w:ilvl w:val="1"/>
                <w:numId w:val="28"/>
              </w:numPr>
              <w:shd w:val="clear" w:color="auto" w:fill="FFFFFF"/>
              <w:tabs>
                <w:tab w:val="clear" w:pos="1440"/>
                <w:tab w:val="num" w:pos="1050"/>
              </w:tabs>
              <w:ind w:left="1050" w:hanging="27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Investment tax credits</w:t>
            </w:r>
          </w:p>
          <w:p w14:paraId="1FFC17B2" w14:textId="77777777" w:rsidR="0024790A" w:rsidRPr="00EB3C04" w:rsidRDefault="0024790A" w:rsidP="000505C0">
            <w:pPr>
              <w:numPr>
                <w:ilvl w:val="1"/>
                <w:numId w:val="28"/>
              </w:numPr>
              <w:shd w:val="clear" w:color="auto" w:fill="FFFFFF"/>
              <w:tabs>
                <w:tab w:val="clear" w:pos="1440"/>
                <w:tab w:val="num" w:pos="1050"/>
              </w:tabs>
              <w:ind w:left="1050" w:hanging="27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Capital cost allowance (CCA)</w:t>
            </w:r>
          </w:p>
          <w:p w14:paraId="2525C7A8"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Incorporating inflation using the nominal and real approaches</w:t>
            </w:r>
          </w:p>
          <w:p w14:paraId="35693027"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Capital rationing</w:t>
            </w:r>
          </w:p>
          <w:p w14:paraId="1F6923E2" w14:textId="77777777" w:rsidR="0024790A" w:rsidRPr="00EB3C04" w:rsidRDefault="0024790A" w:rsidP="000505C0">
            <w:pPr>
              <w:numPr>
                <w:ilvl w:val="1"/>
                <w:numId w:val="29"/>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Hard and soft rationing</w:t>
            </w:r>
          </w:p>
          <w:p w14:paraId="1F92552B" w14:textId="77777777" w:rsidR="0024790A" w:rsidRPr="00EB3C04" w:rsidRDefault="0024790A" w:rsidP="000505C0">
            <w:pPr>
              <w:numPr>
                <w:ilvl w:val="1"/>
                <w:numId w:val="29"/>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Methods of rationing capital</w:t>
            </w:r>
          </w:p>
          <w:p w14:paraId="4BDA11B6" w14:textId="77777777" w:rsidR="0024790A" w:rsidRPr="00EB3C04" w:rsidRDefault="0024790A" w:rsidP="000505C0">
            <w:pPr>
              <w:numPr>
                <w:ilvl w:val="3"/>
                <w:numId w:val="44"/>
              </w:numPr>
              <w:shd w:val="clear" w:color="auto" w:fill="FFFFFF"/>
              <w:tabs>
                <w:tab w:val="clear" w:pos="2880"/>
                <w:tab w:val="num" w:pos="1680"/>
              </w:tabs>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Profitability indexes</w:t>
            </w:r>
          </w:p>
          <w:p w14:paraId="07E64AB6" w14:textId="77777777" w:rsidR="0024790A" w:rsidRPr="00EB3C04" w:rsidRDefault="0024790A" w:rsidP="000505C0">
            <w:pPr>
              <w:numPr>
                <w:ilvl w:val="3"/>
                <w:numId w:val="44"/>
              </w:numPr>
              <w:shd w:val="clear" w:color="auto" w:fill="FFFFFF"/>
              <w:tabs>
                <w:tab w:val="clear" w:pos="2880"/>
                <w:tab w:val="num" w:pos="1680"/>
              </w:tabs>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Using Solver</w:t>
            </w:r>
          </w:p>
          <w:p w14:paraId="28CCE88F"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Comparing projects of varying lives</w:t>
            </w:r>
          </w:p>
          <w:p w14:paraId="58027184"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Changes in net working capital</w:t>
            </w:r>
          </w:p>
          <w:p w14:paraId="70C9BE4D" w14:textId="453311CE"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 xml:space="preserve">Taxation effects of terminal cash flows - Recaptures, terminal </w:t>
            </w:r>
            <w:r w:rsidR="000F6BD1" w:rsidRPr="00EB3C04">
              <w:rPr>
                <w:rFonts w:asciiTheme="minorHAnsi" w:eastAsia="Times New Roman" w:hAnsiTheme="minorHAnsi" w:cstheme="minorHAnsi"/>
                <w:b w:val="0"/>
                <w:color w:val="2D2D2D"/>
                <w:sz w:val="24"/>
                <w:szCs w:val="24"/>
                <w:u w:val="none"/>
                <w:lang w:val="en-GB"/>
              </w:rPr>
              <w:t>losses,</w:t>
            </w:r>
            <w:r w:rsidRPr="00EB3C04">
              <w:rPr>
                <w:rFonts w:asciiTheme="minorHAnsi" w:eastAsia="Times New Roman" w:hAnsiTheme="minorHAnsi" w:cstheme="minorHAnsi"/>
                <w:b w:val="0"/>
                <w:color w:val="2D2D2D"/>
                <w:sz w:val="24"/>
                <w:szCs w:val="24"/>
                <w:u w:val="none"/>
                <w:lang w:val="en-GB"/>
              </w:rPr>
              <w:t xml:space="preserve"> and capital gains</w:t>
            </w:r>
          </w:p>
          <w:p w14:paraId="069678A7"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Managing risk</w:t>
            </w:r>
          </w:p>
          <w:p w14:paraId="559F48B4" w14:textId="77777777" w:rsidR="0024790A" w:rsidRPr="00EB3C04" w:rsidRDefault="0024790A" w:rsidP="000505C0">
            <w:pPr>
              <w:numPr>
                <w:ilvl w:val="1"/>
                <w:numId w:val="30"/>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Minimum payback period</w:t>
            </w:r>
          </w:p>
          <w:p w14:paraId="5AB4F768" w14:textId="77777777" w:rsidR="0024790A" w:rsidRPr="00EB3C04" w:rsidRDefault="0024790A" w:rsidP="000505C0">
            <w:pPr>
              <w:numPr>
                <w:ilvl w:val="1"/>
                <w:numId w:val="30"/>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Adjust the discount rate</w:t>
            </w:r>
          </w:p>
          <w:p w14:paraId="6B843EB3" w14:textId="5C8412C2" w:rsidR="0024790A" w:rsidRPr="00EB3C04" w:rsidRDefault="0024790A" w:rsidP="000505C0">
            <w:pPr>
              <w:numPr>
                <w:ilvl w:val="1"/>
                <w:numId w:val="30"/>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 xml:space="preserve">Sensitivity, scenario, </w:t>
            </w:r>
            <w:r w:rsidR="002A3FA8">
              <w:rPr>
                <w:rFonts w:asciiTheme="minorHAnsi" w:eastAsia="Times New Roman" w:hAnsiTheme="minorHAnsi" w:cstheme="minorHAnsi"/>
                <w:b w:val="0"/>
                <w:color w:val="2D2D2D"/>
                <w:sz w:val="24"/>
                <w:szCs w:val="24"/>
                <w:u w:val="none"/>
                <w:lang w:val="en-GB"/>
              </w:rPr>
              <w:t xml:space="preserve">and </w:t>
            </w:r>
            <w:r w:rsidRPr="00EB3C04">
              <w:rPr>
                <w:rFonts w:asciiTheme="minorHAnsi" w:eastAsia="Times New Roman" w:hAnsiTheme="minorHAnsi" w:cstheme="minorHAnsi"/>
                <w:b w:val="0"/>
                <w:color w:val="2D2D2D"/>
                <w:sz w:val="24"/>
                <w:szCs w:val="24"/>
                <w:u w:val="none"/>
                <w:lang w:val="en-GB"/>
              </w:rPr>
              <w:t>simulation analysis</w:t>
            </w:r>
          </w:p>
          <w:p w14:paraId="4B6644C6" w14:textId="77777777" w:rsidR="0024790A" w:rsidRPr="00EB3C04" w:rsidRDefault="0024790A" w:rsidP="000505C0">
            <w:pPr>
              <w:numPr>
                <w:ilvl w:val="1"/>
                <w:numId w:val="30"/>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Management options using decision trees</w:t>
            </w:r>
          </w:p>
          <w:p w14:paraId="2D694190" w14:textId="77777777" w:rsidR="0024790A" w:rsidRPr="00EB3C04" w:rsidRDefault="0024790A" w:rsidP="000505C0">
            <w:pPr>
              <w:numPr>
                <w:ilvl w:val="0"/>
                <w:numId w:val="11"/>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Complex capital budgeting</w:t>
            </w:r>
          </w:p>
          <w:p w14:paraId="3A04FECA" w14:textId="77777777" w:rsidR="0024790A" w:rsidRPr="00EB3C04" w:rsidRDefault="0024790A" w:rsidP="000505C0">
            <w:pPr>
              <w:numPr>
                <w:ilvl w:val="1"/>
                <w:numId w:val="31"/>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Need for more frequent cash flow estimates</w:t>
            </w:r>
          </w:p>
          <w:p w14:paraId="6CAF5E2D" w14:textId="77777777" w:rsidR="0024790A" w:rsidRPr="001125CC" w:rsidRDefault="0024790A" w:rsidP="000505C0">
            <w:pPr>
              <w:numPr>
                <w:ilvl w:val="1"/>
                <w:numId w:val="31"/>
              </w:numPr>
              <w:shd w:val="clear" w:color="auto" w:fill="FFFFFF"/>
              <w:tabs>
                <w:tab w:val="clear" w:pos="1440"/>
                <w:tab w:val="num" w:pos="1140"/>
              </w:tabs>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lang w:val="en-GB"/>
              </w:rPr>
              <w:t>Using spreadsheets</w:t>
            </w:r>
          </w:p>
          <w:p w14:paraId="1EBCD98A" w14:textId="77777777" w:rsidR="0024790A" w:rsidRPr="007B4579" w:rsidRDefault="0024790A" w:rsidP="0024790A">
            <w:pPr>
              <w:shd w:val="clear" w:color="auto" w:fill="FFFFFF"/>
              <w:rPr>
                <w:rFonts w:asciiTheme="minorHAnsi" w:eastAsia="Times New Roman" w:hAnsiTheme="minorHAnsi" w:cstheme="minorHAnsi"/>
                <w:b w:val="0"/>
                <w:bCs w:val="0"/>
                <w:color w:val="2D2D2D"/>
                <w:sz w:val="24"/>
                <w:szCs w:val="24"/>
                <w:u w:val="none"/>
              </w:rPr>
            </w:pPr>
          </w:p>
          <w:p w14:paraId="4DF239E8" w14:textId="183688AC" w:rsidR="0024790A" w:rsidRPr="007B4579" w:rsidRDefault="0024790A" w:rsidP="000505C0">
            <w:pPr>
              <w:pStyle w:val="ListParagraph"/>
              <w:numPr>
                <w:ilvl w:val="4"/>
                <w:numId w:val="11"/>
              </w:numPr>
              <w:suppressAutoHyphens/>
              <w:ind w:left="414" w:hanging="450"/>
              <w:jc w:val="both"/>
              <w:rPr>
                <w:rFonts w:asciiTheme="minorHAnsi" w:hAnsiTheme="minorHAnsi" w:cstheme="minorHAnsi"/>
                <w:b w:val="0"/>
                <w:bCs w:val="0"/>
                <w:color w:val="000000" w:themeColor="text1"/>
                <w:spacing w:val="-2"/>
                <w:sz w:val="24"/>
                <w:szCs w:val="24"/>
                <w:u w:val="none"/>
                <w:lang w:val="en-GB"/>
              </w:rPr>
            </w:pPr>
            <w:r w:rsidRPr="007B4579">
              <w:rPr>
                <w:rFonts w:asciiTheme="minorHAnsi" w:hAnsiTheme="minorHAnsi" w:cstheme="minorHAnsi"/>
                <w:b w:val="0"/>
                <w:bCs w:val="0"/>
                <w:color w:val="000000" w:themeColor="text1"/>
                <w:spacing w:val="-2"/>
                <w:sz w:val="24"/>
                <w:szCs w:val="24"/>
                <w:u w:val="none"/>
                <w:lang w:val="en-GB"/>
              </w:rPr>
              <w:t>Optimal Capital Structure</w:t>
            </w:r>
          </w:p>
          <w:p w14:paraId="60A44AA7" w14:textId="77777777" w:rsidR="0024790A" w:rsidRPr="0062790D" w:rsidRDefault="0024790A" w:rsidP="000505C0">
            <w:pPr>
              <w:numPr>
                <w:ilvl w:val="0"/>
                <w:numId w:val="4"/>
              </w:numPr>
              <w:rPr>
                <w:rFonts w:asciiTheme="minorHAnsi" w:eastAsia="Times New Roman" w:hAnsiTheme="minorHAnsi" w:cstheme="minorHAnsi"/>
                <w:b w:val="0"/>
                <w:bCs w:val="0"/>
                <w:color w:val="000000" w:themeColor="text1"/>
                <w:sz w:val="24"/>
                <w:szCs w:val="24"/>
                <w:u w:val="none"/>
              </w:rPr>
            </w:pPr>
            <w:r>
              <w:rPr>
                <w:rFonts w:asciiTheme="minorHAnsi" w:eastAsia="Times New Roman" w:hAnsiTheme="minorHAnsi" w:cstheme="minorHAnsi"/>
                <w:b w:val="0"/>
                <w:bCs w:val="0"/>
                <w:color w:val="000000" w:themeColor="text1"/>
                <w:sz w:val="24"/>
                <w:szCs w:val="24"/>
                <w:u w:val="none"/>
              </w:rPr>
              <w:t xml:space="preserve">Review </w:t>
            </w:r>
            <w:r w:rsidRPr="0062790D">
              <w:rPr>
                <w:rFonts w:asciiTheme="minorHAnsi" w:eastAsia="Times New Roman" w:hAnsiTheme="minorHAnsi" w:cstheme="minorHAnsi"/>
                <w:b w:val="0"/>
                <w:bCs w:val="0"/>
                <w:color w:val="000000" w:themeColor="text1"/>
                <w:sz w:val="24"/>
                <w:szCs w:val="24"/>
                <w:u w:val="none"/>
              </w:rPr>
              <w:t>of optimal capital structure</w:t>
            </w:r>
          </w:p>
          <w:p w14:paraId="19D0CC8D" w14:textId="77777777" w:rsidR="0024790A" w:rsidRPr="0062790D" w:rsidRDefault="0024790A" w:rsidP="000505C0">
            <w:pPr>
              <w:numPr>
                <w:ilvl w:val="0"/>
                <w:numId w:val="4"/>
              </w:numPr>
              <w:ind w:left="1045"/>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Business risk</w:t>
            </w:r>
          </w:p>
          <w:p w14:paraId="7A43F591" w14:textId="77777777" w:rsidR="0024790A" w:rsidRPr="0062790D" w:rsidRDefault="0024790A" w:rsidP="000505C0">
            <w:pPr>
              <w:numPr>
                <w:ilvl w:val="0"/>
                <w:numId w:val="4"/>
              </w:numPr>
              <w:tabs>
                <w:tab w:val="num" w:pos="1045"/>
              </w:tabs>
              <w:ind w:left="1370"/>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Sales risk</w:t>
            </w:r>
          </w:p>
          <w:p w14:paraId="1C30AC4C" w14:textId="77777777" w:rsidR="0024790A" w:rsidRPr="0062790D" w:rsidRDefault="0024790A" w:rsidP="000505C0">
            <w:pPr>
              <w:numPr>
                <w:ilvl w:val="0"/>
                <w:numId w:val="4"/>
              </w:numPr>
              <w:tabs>
                <w:tab w:val="num" w:pos="1045"/>
              </w:tabs>
              <w:ind w:left="1370"/>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Operating risk and cost structure</w:t>
            </w:r>
          </w:p>
          <w:p w14:paraId="124E9363" w14:textId="77777777" w:rsidR="0024790A" w:rsidRPr="0062790D" w:rsidRDefault="0024790A" w:rsidP="000505C0">
            <w:pPr>
              <w:numPr>
                <w:ilvl w:val="0"/>
                <w:numId w:val="4"/>
              </w:numPr>
              <w:tabs>
                <w:tab w:val="num" w:pos="1045"/>
              </w:tabs>
              <w:ind w:left="1370"/>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Degree of operating leverage</w:t>
            </w:r>
          </w:p>
          <w:p w14:paraId="6B790425" w14:textId="77777777" w:rsidR="0024790A" w:rsidRPr="0062790D" w:rsidRDefault="0024790A" w:rsidP="000505C0">
            <w:pPr>
              <w:numPr>
                <w:ilvl w:val="0"/>
                <w:numId w:val="4"/>
              </w:numPr>
              <w:tabs>
                <w:tab w:val="num" w:pos="685"/>
              </w:tabs>
              <w:ind w:left="1010"/>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Financial risk</w:t>
            </w:r>
          </w:p>
          <w:p w14:paraId="1CA0EEB6" w14:textId="77777777" w:rsidR="0024790A" w:rsidRPr="0062790D" w:rsidRDefault="0024790A" w:rsidP="000505C0">
            <w:pPr>
              <w:numPr>
                <w:ilvl w:val="0"/>
                <w:numId w:val="4"/>
              </w:numPr>
              <w:ind w:left="1370" w:hanging="355"/>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Degree of financial leverage</w:t>
            </w:r>
          </w:p>
          <w:p w14:paraId="64F28BEA" w14:textId="77777777" w:rsidR="0024790A" w:rsidRPr="0062790D" w:rsidRDefault="0024790A" w:rsidP="000505C0">
            <w:pPr>
              <w:numPr>
                <w:ilvl w:val="0"/>
                <w:numId w:val="4"/>
              </w:numPr>
              <w:ind w:left="1370"/>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lastRenderedPageBreak/>
              <w:t>Degree of combined leverage</w:t>
            </w:r>
          </w:p>
          <w:p w14:paraId="47EE7B01" w14:textId="77777777" w:rsidR="0024790A" w:rsidRPr="0062790D" w:rsidRDefault="0024790A" w:rsidP="000505C0">
            <w:pPr>
              <w:numPr>
                <w:ilvl w:val="0"/>
                <w:numId w:val="4"/>
              </w:numPr>
              <w:tabs>
                <w:tab w:val="num" w:pos="1045"/>
              </w:tabs>
              <w:ind w:left="1010"/>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Tradeoff between business risk and financial risk</w:t>
            </w:r>
            <w:r>
              <w:rPr>
                <w:rFonts w:asciiTheme="minorHAnsi" w:eastAsia="Times New Roman" w:hAnsiTheme="minorHAnsi" w:cstheme="minorHAnsi"/>
                <w:b w:val="0"/>
                <w:bCs w:val="0"/>
                <w:color w:val="000000" w:themeColor="text1"/>
                <w:sz w:val="24"/>
                <w:szCs w:val="24"/>
                <w:u w:val="none"/>
              </w:rPr>
              <w:t xml:space="preserve"> </w:t>
            </w:r>
          </w:p>
          <w:p w14:paraId="22F1BDE4" w14:textId="77777777" w:rsidR="0024790A" w:rsidRPr="0062790D" w:rsidRDefault="0024790A" w:rsidP="000505C0">
            <w:pPr>
              <w:numPr>
                <w:ilvl w:val="0"/>
                <w:numId w:val="4"/>
              </w:numPr>
              <w:tabs>
                <w:tab w:val="clear" w:pos="720"/>
                <w:tab w:val="num" w:pos="685"/>
              </w:tabs>
              <w:ind w:left="1045"/>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Determination of the optimal capital structure</w:t>
            </w:r>
          </w:p>
          <w:p w14:paraId="2F0E9637" w14:textId="77777777" w:rsidR="0024790A" w:rsidRPr="0062790D" w:rsidRDefault="0024790A" w:rsidP="000505C0">
            <w:pPr>
              <w:numPr>
                <w:ilvl w:val="1"/>
                <w:numId w:val="5"/>
              </w:numPr>
              <w:tabs>
                <w:tab w:val="num" w:pos="1045"/>
              </w:tabs>
              <w:ind w:left="1370" w:hanging="355"/>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Industry average ratios</w:t>
            </w:r>
          </w:p>
          <w:p w14:paraId="5DA59345" w14:textId="77777777" w:rsidR="0024790A" w:rsidRPr="009B05AB" w:rsidRDefault="0024790A" w:rsidP="000505C0">
            <w:pPr>
              <w:numPr>
                <w:ilvl w:val="1"/>
                <w:numId w:val="5"/>
              </w:numPr>
              <w:tabs>
                <w:tab w:val="num" w:pos="1045"/>
              </w:tabs>
              <w:ind w:left="1370" w:hanging="355"/>
              <w:rPr>
                <w:rFonts w:asciiTheme="minorHAnsi" w:eastAsia="Times New Roman" w:hAnsiTheme="minorHAnsi" w:cstheme="minorHAnsi"/>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Worst-case scenario</w:t>
            </w:r>
          </w:p>
          <w:p w14:paraId="340FAF5C" w14:textId="77777777" w:rsidR="0024790A" w:rsidRPr="009B05AB" w:rsidRDefault="0024790A" w:rsidP="000505C0">
            <w:pPr>
              <w:numPr>
                <w:ilvl w:val="1"/>
                <w:numId w:val="5"/>
              </w:numPr>
              <w:ind w:left="690"/>
              <w:rPr>
                <w:rFonts w:asciiTheme="minorHAnsi" w:eastAsia="Times New Roman" w:hAnsiTheme="minorHAnsi" w:cstheme="minorHAnsi"/>
                <w:b w:val="0"/>
                <w:bCs w:val="0"/>
                <w:color w:val="000000" w:themeColor="text1"/>
                <w:sz w:val="24"/>
                <w:szCs w:val="24"/>
                <w:u w:val="none"/>
              </w:rPr>
            </w:pPr>
            <w:r w:rsidRPr="009B05AB">
              <w:rPr>
                <w:rFonts w:asciiTheme="minorHAnsi" w:eastAsia="Times New Roman" w:hAnsiTheme="minorHAnsi" w:cstheme="minorHAnsi"/>
                <w:b w:val="0"/>
                <w:bCs w:val="0"/>
                <w:color w:val="000000" w:themeColor="text1"/>
                <w:sz w:val="24"/>
                <w:szCs w:val="24"/>
                <w:u w:val="none"/>
              </w:rPr>
              <w:t>Optimal capital structure theories</w:t>
            </w:r>
          </w:p>
          <w:p w14:paraId="58C72879" w14:textId="77777777" w:rsidR="0024790A" w:rsidRPr="009B05AB"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sidRPr="009B05AB">
              <w:rPr>
                <w:rFonts w:asciiTheme="minorHAnsi" w:hAnsiTheme="minorHAnsi" w:cstheme="minorHAnsi"/>
                <w:b w:val="0"/>
                <w:sz w:val="24"/>
                <w:szCs w:val="24"/>
                <w:u w:val="none"/>
              </w:rPr>
              <w:t>Modigliani and Miller (MM) without taxes</w:t>
            </w:r>
          </w:p>
          <w:p w14:paraId="6B6891CE" w14:textId="77777777" w:rsidR="0024790A" w:rsidRPr="009B05AB"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sidRPr="009B05AB">
              <w:rPr>
                <w:rFonts w:asciiTheme="minorHAnsi" w:hAnsiTheme="minorHAnsi" w:cstheme="minorHAnsi"/>
                <w:b w:val="0"/>
                <w:sz w:val="24"/>
                <w:szCs w:val="24"/>
                <w:u w:val="none"/>
              </w:rPr>
              <w:t xml:space="preserve">Modigliani and Miller (MM) with taxes </w:t>
            </w:r>
          </w:p>
          <w:p w14:paraId="25AE8299" w14:textId="77777777" w:rsidR="0024790A" w:rsidRPr="009B05AB"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sidRPr="009B05AB">
              <w:rPr>
                <w:rFonts w:asciiTheme="minorHAnsi" w:eastAsia="Times New Roman" w:hAnsiTheme="minorHAnsi" w:cstheme="minorHAnsi"/>
                <w:b w:val="0"/>
                <w:bCs w:val="0"/>
                <w:color w:val="000000" w:themeColor="text1"/>
                <w:sz w:val="24"/>
                <w:szCs w:val="24"/>
                <w:u w:val="none"/>
              </w:rPr>
              <w:t>Static trade-off theory</w:t>
            </w:r>
          </w:p>
          <w:p w14:paraId="32D4FDAD" w14:textId="77777777" w:rsidR="0024790A" w:rsidRPr="009B05AB"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sidRPr="009B05AB">
              <w:rPr>
                <w:rFonts w:asciiTheme="minorHAnsi" w:eastAsia="Times New Roman" w:hAnsiTheme="minorHAnsi" w:cstheme="minorHAnsi"/>
                <w:b w:val="0"/>
                <w:bCs w:val="0"/>
                <w:color w:val="000000" w:themeColor="text1"/>
                <w:sz w:val="24"/>
                <w:szCs w:val="24"/>
                <w:u w:val="none"/>
              </w:rPr>
              <w:t>Pecking order theory</w:t>
            </w:r>
          </w:p>
          <w:p w14:paraId="3014A460" w14:textId="77777777" w:rsidR="0024790A" w:rsidRPr="009B05AB"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sidRPr="009B05AB">
              <w:rPr>
                <w:rFonts w:asciiTheme="minorHAnsi" w:hAnsiTheme="minorHAnsi" w:cstheme="minorHAnsi"/>
                <w:b w:val="0"/>
                <w:sz w:val="24"/>
                <w:szCs w:val="24"/>
                <w:u w:val="none"/>
              </w:rPr>
              <w:t>Financial slack and unused borrowing capacity</w:t>
            </w:r>
          </w:p>
          <w:p w14:paraId="22F2B824" w14:textId="77777777" w:rsidR="0024790A"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Pr>
                <w:rFonts w:asciiTheme="minorHAnsi" w:eastAsia="Times New Roman" w:hAnsiTheme="minorHAnsi" w:cstheme="minorHAnsi"/>
                <w:b w:val="0"/>
                <w:bCs w:val="0"/>
                <w:color w:val="000000" w:themeColor="text1"/>
                <w:sz w:val="24"/>
                <w:szCs w:val="24"/>
                <w:u w:val="none"/>
              </w:rPr>
              <w:t>Agency theory</w:t>
            </w:r>
          </w:p>
          <w:p w14:paraId="548EF892" w14:textId="77777777" w:rsidR="0024790A" w:rsidRDefault="0024790A" w:rsidP="000505C0">
            <w:pPr>
              <w:numPr>
                <w:ilvl w:val="2"/>
                <w:numId w:val="45"/>
              </w:numPr>
              <w:tabs>
                <w:tab w:val="clear" w:pos="2160"/>
              </w:tabs>
              <w:ind w:left="1050"/>
              <w:rPr>
                <w:rFonts w:asciiTheme="minorHAnsi" w:eastAsia="Times New Roman" w:hAnsiTheme="minorHAnsi" w:cstheme="minorHAnsi"/>
                <w:b w:val="0"/>
                <w:bCs w:val="0"/>
                <w:color w:val="000000" w:themeColor="text1"/>
                <w:sz w:val="24"/>
                <w:szCs w:val="24"/>
                <w:u w:val="none"/>
              </w:rPr>
            </w:pPr>
            <w:r>
              <w:rPr>
                <w:rFonts w:asciiTheme="minorHAnsi" w:eastAsia="Times New Roman" w:hAnsiTheme="minorHAnsi" w:cstheme="minorHAnsi"/>
                <w:b w:val="0"/>
                <w:bCs w:val="0"/>
                <w:color w:val="000000" w:themeColor="text1"/>
                <w:sz w:val="24"/>
                <w:szCs w:val="24"/>
                <w:u w:val="none"/>
              </w:rPr>
              <w:t>Signaling theory</w:t>
            </w:r>
          </w:p>
          <w:p w14:paraId="0BE2DB6C" w14:textId="77777777" w:rsidR="0024790A" w:rsidRPr="0062790D" w:rsidRDefault="0024790A" w:rsidP="000505C0">
            <w:pPr>
              <w:numPr>
                <w:ilvl w:val="1"/>
                <w:numId w:val="5"/>
              </w:numPr>
              <w:ind w:left="1050"/>
              <w:rPr>
                <w:rFonts w:asciiTheme="minorHAnsi" w:eastAsia="Times New Roman" w:hAnsiTheme="minorHAnsi" w:cstheme="minorHAnsi"/>
                <w:b w:val="0"/>
                <w:bCs w:val="0"/>
                <w:color w:val="000000" w:themeColor="text1"/>
                <w:sz w:val="24"/>
                <w:szCs w:val="24"/>
                <w:u w:val="none"/>
              </w:rPr>
            </w:pPr>
            <w:r>
              <w:rPr>
                <w:rFonts w:asciiTheme="minorHAnsi" w:eastAsia="Times New Roman" w:hAnsiTheme="minorHAnsi" w:cstheme="minorHAnsi"/>
                <w:b w:val="0"/>
                <w:bCs w:val="0"/>
                <w:color w:val="000000" w:themeColor="text1"/>
                <w:sz w:val="24"/>
                <w:szCs w:val="24"/>
                <w:u w:val="none"/>
              </w:rPr>
              <w:t>Market timing theory</w:t>
            </w:r>
          </w:p>
          <w:p w14:paraId="0D73C2B1" w14:textId="77777777" w:rsidR="009C2C12" w:rsidRDefault="0024790A" w:rsidP="000505C0">
            <w:pPr>
              <w:numPr>
                <w:ilvl w:val="0"/>
                <w:numId w:val="4"/>
              </w:numPr>
              <w:tabs>
                <w:tab w:val="clear" w:pos="720"/>
                <w:tab w:val="num" w:pos="690"/>
              </w:tabs>
              <w:rPr>
                <w:rFonts w:asciiTheme="minorHAnsi" w:eastAsia="Times New Roman" w:hAnsiTheme="minorHAnsi" w:cstheme="minorHAnsi"/>
                <w:b w:val="0"/>
                <w:bCs w:val="0"/>
                <w:color w:val="000000" w:themeColor="text1"/>
                <w:sz w:val="24"/>
                <w:szCs w:val="24"/>
                <w:u w:val="none"/>
              </w:rPr>
            </w:pPr>
            <w:r w:rsidRPr="0062790D">
              <w:rPr>
                <w:rFonts w:asciiTheme="minorHAnsi" w:eastAsia="Times New Roman" w:hAnsiTheme="minorHAnsi" w:cstheme="minorHAnsi"/>
                <w:b w:val="0"/>
                <w:bCs w:val="0"/>
                <w:color w:val="000000" w:themeColor="text1"/>
                <w:sz w:val="24"/>
                <w:szCs w:val="24"/>
                <w:u w:val="none"/>
              </w:rPr>
              <w:t>Other factors affecting capital structure</w:t>
            </w:r>
          </w:p>
          <w:p w14:paraId="122CA938" w14:textId="77777777" w:rsidR="0060577E" w:rsidRDefault="0024790A" w:rsidP="000505C0">
            <w:pPr>
              <w:numPr>
                <w:ilvl w:val="0"/>
                <w:numId w:val="4"/>
              </w:numPr>
              <w:tabs>
                <w:tab w:val="clear" w:pos="720"/>
                <w:tab w:val="num" w:pos="690"/>
              </w:tabs>
              <w:rPr>
                <w:rFonts w:asciiTheme="minorHAnsi" w:eastAsia="Times New Roman" w:hAnsiTheme="minorHAnsi" w:cstheme="minorHAnsi"/>
                <w:b w:val="0"/>
                <w:bCs w:val="0"/>
                <w:color w:val="000000" w:themeColor="text1"/>
                <w:sz w:val="24"/>
                <w:szCs w:val="24"/>
                <w:u w:val="none"/>
              </w:rPr>
            </w:pPr>
            <w:r w:rsidRPr="009C2C12">
              <w:rPr>
                <w:rFonts w:asciiTheme="minorHAnsi" w:eastAsia="Times New Roman" w:hAnsiTheme="minorHAnsi" w:cstheme="minorHAnsi"/>
                <w:b w:val="0"/>
                <w:bCs w:val="0"/>
                <w:color w:val="000000" w:themeColor="text1"/>
                <w:sz w:val="24"/>
                <w:szCs w:val="24"/>
                <w:u w:val="none"/>
              </w:rPr>
              <w:t>Industry practice</w:t>
            </w:r>
          </w:p>
          <w:p w14:paraId="45D36E54" w14:textId="77777777" w:rsidR="007B4579" w:rsidRPr="007B4579" w:rsidRDefault="007B4579" w:rsidP="007B4579">
            <w:pPr>
              <w:rPr>
                <w:rFonts w:asciiTheme="minorHAnsi" w:eastAsia="Times New Roman" w:hAnsiTheme="minorHAnsi" w:cstheme="minorHAnsi"/>
                <w:b w:val="0"/>
                <w:bCs w:val="0"/>
                <w:color w:val="000000" w:themeColor="text1"/>
                <w:sz w:val="24"/>
                <w:szCs w:val="24"/>
                <w:u w:val="none"/>
              </w:rPr>
            </w:pPr>
          </w:p>
          <w:p w14:paraId="741EB5E9" w14:textId="557B353F" w:rsidR="007B4579" w:rsidRPr="007B4579" w:rsidRDefault="007B4579" w:rsidP="000505C0">
            <w:pPr>
              <w:pStyle w:val="ListParagraph"/>
              <w:numPr>
                <w:ilvl w:val="4"/>
                <w:numId w:val="11"/>
              </w:numPr>
              <w:shd w:val="clear" w:color="auto" w:fill="FFFFFF"/>
              <w:ind w:left="414"/>
              <w:rPr>
                <w:rFonts w:asciiTheme="minorHAnsi" w:eastAsia="Times New Roman" w:hAnsiTheme="minorHAnsi" w:cstheme="minorHAnsi"/>
                <w:b w:val="0"/>
                <w:bCs w:val="0"/>
                <w:color w:val="2D2D2D"/>
                <w:sz w:val="24"/>
                <w:szCs w:val="24"/>
                <w:u w:val="none"/>
              </w:rPr>
            </w:pPr>
            <w:r w:rsidRPr="007B4579">
              <w:rPr>
                <w:rFonts w:asciiTheme="minorHAnsi" w:eastAsia="Times New Roman" w:hAnsiTheme="minorHAnsi" w:cstheme="minorHAnsi"/>
                <w:b w:val="0"/>
                <w:bCs w:val="0"/>
                <w:color w:val="2D2D2D"/>
                <w:sz w:val="24"/>
                <w:szCs w:val="24"/>
                <w:u w:val="none"/>
              </w:rPr>
              <w:t>Corporate Governance and Executive Compensation</w:t>
            </w:r>
          </w:p>
          <w:p w14:paraId="59359CC9"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Goal of the firm and agency costs</w:t>
            </w:r>
          </w:p>
          <w:p w14:paraId="78CCAFA5"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Corporate governance overview</w:t>
            </w:r>
          </w:p>
          <w:p w14:paraId="5F7B4AF8" w14:textId="77777777" w:rsidR="007B4579" w:rsidRPr="00EB3C04" w:rsidRDefault="007B4579" w:rsidP="000505C0">
            <w:pPr>
              <w:numPr>
                <w:ilvl w:val="1"/>
                <w:numId w:val="13"/>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Role of the board of directors</w:t>
            </w:r>
          </w:p>
          <w:p w14:paraId="17F7FA04" w14:textId="77777777" w:rsidR="007B4579" w:rsidRPr="00EB3C04" w:rsidRDefault="007B4579" w:rsidP="000505C0">
            <w:pPr>
              <w:numPr>
                <w:ilvl w:val="1"/>
                <w:numId w:val="13"/>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Shareholder rights</w:t>
            </w:r>
          </w:p>
          <w:p w14:paraId="1F3F30D7" w14:textId="77777777" w:rsidR="007B4579" w:rsidRPr="00EB3C04" w:rsidRDefault="007B4579" w:rsidP="000505C0">
            <w:pPr>
              <w:numPr>
                <w:ilvl w:val="1"/>
                <w:numId w:val="13"/>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History of corporate governance in Canada</w:t>
            </w:r>
          </w:p>
          <w:p w14:paraId="56416339"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Corporate governance best practices</w:t>
            </w:r>
          </w:p>
          <w:p w14:paraId="2588679D" w14:textId="77777777" w:rsidR="007B4579" w:rsidRPr="00EB3C04" w:rsidRDefault="007B4579" w:rsidP="000505C0">
            <w:pPr>
              <w:numPr>
                <w:ilvl w:val="1"/>
                <w:numId w:val="14"/>
              </w:numPr>
              <w:shd w:val="clear" w:color="auto" w:fill="FFFFFF"/>
              <w:ind w:left="123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NI 51-201 Corporate Governance Guidelines − CSA</w:t>
            </w:r>
          </w:p>
          <w:p w14:paraId="7CFBA6B5" w14:textId="77777777" w:rsidR="007B4579" w:rsidRPr="00EB3C04" w:rsidRDefault="007B4579" w:rsidP="000505C0">
            <w:pPr>
              <w:numPr>
                <w:ilvl w:val="1"/>
                <w:numId w:val="14"/>
              </w:numPr>
              <w:shd w:val="clear" w:color="auto" w:fill="FFFFFF"/>
              <w:ind w:left="123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NI 58-101 Disclosure of Corporate Governance Practices − CSA</w:t>
            </w:r>
          </w:p>
          <w:p w14:paraId="5D376231" w14:textId="77777777" w:rsidR="007B4579" w:rsidRPr="00EB3C04" w:rsidRDefault="007B4579" w:rsidP="000505C0">
            <w:pPr>
              <w:numPr>
                <w:ilvl w:val="1"/>
                <w:numId w:val="14"/>
              </w:numPr>
              <w:shd w:val="clear" w:color="auto" w:fill="FFFFFF"/>
              <w:ind w:left="123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Building High Performance Boards − CCGG</w:t>
            </w:r>
          </w:p>
          <w:p w14:paraId="30BED622" w14:textId="77777777" w:rsidR="007B4579" w:rsidRPr="00EB3C04" w:rsidRDefault="007B4579" w:rsidP="000505C0">
            <w:pPr>
              <w:numPr>
                <w:ilvl w:val="1"/>
                <w:numId w:val="14"/>
              </w:numPr>
              <w:shd w:val="clear" w:color="auto" w:fill="FFFFFF"/>
              <w:ind w:left="123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The Corporate Governance of Listed Companies:  A Manual for Investors – CFA Institute</w:t>
            </w:r>
          </w:p>
          <w:p w14:paraId="24299225"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Corporate governance in practice</w:t>
            </w:r>
          </w:p>
          <w:p w14:paraId="69D86D54"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Corporate governance ratings </w:t>
            </w:r>
          </w:p>
          <w:p w14:paraId="2EE73231" w14:textId="77777777" w:rsidR="007B4579" w:rsidRPr="00EB3C04" w:rsidRDefault="007B4579" w:rsidP="000505C0">
            <w:pPr>
              <w:numPr>
                <w:ilvl w:val="1"/>
                <w:numId w:val="15"/>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ISS Governance Quality Scores (GQS)</w:t>
            </w:r>
          </w:p>
          <w:p w14:paraId="767D533F"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Responsibilities of directors</w:t>
            </w:r>
          </w:p>
          <w:p w14:paraId="40EF82BC" w14:textId="77777777" w:rsidR="007B4579" w:rsidRPr="00EB3C04" w:rsidRDefault="007B4579" w:rsidP="000505C0">
            <w:pPr>
              <w:numPr>
                <w:ilvl w:val="1"/>
                <w:numId w:val="16"/>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Fiduciary duty</w:t>
            </w:r>
          </w:p>
          <w:p w14:paraId="3F774109" w14:textId="77777777" w:rsidR="007B4579" w:rsidRPr="00EB3C04" w:rsidRDefault="007B4579" w:rsidP="000505C0">
            <w:pPr>
              <w:numPr>
                <w:ilvl w:val="1"/>
                <w:numId w:val="16"/>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Duty of care</w:t>
            </w:r>
          </w:p>
          <w:p w14:paraId="5D06CED5" w14:textId="77777777" w:rsidR="007B4579" w:rsidRPr="00EB3C04" w:rsidRDefault="007B4579" w:rsidP="000505C0">
            <w:pPr>
              <w:numPr>
                <w:ilvl w:val="1"/>
                <w:numId w:val="16"/>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Business judgement</w:t>
            </w:r>
          </w:p>
          <w:p w14:paraId="6939B60A" w14:textId="77777777" w:rsidR="007B4579" w:rsidRPr="00EB3C04" w:rsidRDefault="007B4579" w:rsidP="000505C0">
            <w:pPr>
              <w:numPr>
                <w:ilvl w:val="1"/>
                <w:numId w:val="16"/>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Confidentiality </w:t>
            </w:r>
          </w:p>
          <w:p w14:paraId="660996B7" w14:textId="77777777" w:rsidR="007B4579" w:rsidRPr="00EB3C04" w:rsidRDefault="007B4579" w:rsidP="000505C0">
            <w:pPr>
              <w:numPr>
                <w:ilvl w:val="1"/>
                <w:numId w:val="16"/>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Conflict of interest</w:t>
            </w:r>
          </w:p>
          <w:p w14:paraId="18E7D8B4" w14:textId="77777777" w:rsidR="007B4579" w:rsidRPr="00EB3C04" w:rsidRDefault="007B4579" w:rsidP="000505C0">
            <w:pPr>
              <w:numPr>
                <w:ilvl w:val="1"/>
                <w:numId w:val="16"/>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Director liability</w:t>
            </w:r>
          </w:p>
          <w:p w14:paraId="11712C4A"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Professional accreditation</w:t>
            </w:r>
          </w:p>
          <w:p w14:paraId="3DBCBD84" w14:textId="77777777" w:rsidR="007B4579" w:rsidRPr="00EB3C04" w:rsidRDefault="007B4579" w:rsidP="000505C0">
            <w:pPr>
              <w:numPr>
                <w:ilvl w:val="1"/>
                <w:numId w:val="17"/>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Institute of Corporate Directors (ICD)</w:t>
            </w:r>
          </w:p>
          <w:p w14:paraId="0CBF585C" w14:textId="77777777" w:rsidR="007B4579" w:rsidRPr="00EB3C04" w:rsidRDefault="007B4579" w:rsidP="000505C0">
            <w:pPr>
              <w:numPr>
                <w:ilvl w:val="1"/>
                <w:numId w:val="17"/>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ICD.D professional designation</w:t>
            </w:r>
          </w:p>
          <w:p w14:paraId="23AD6803"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Executive compensation</w:t>
            </w:r>
          </w:p>
          <w:p w14:paraId="4E7C0378" w14:textId="77777777" w:rsidR="007B4579" w:rsidRPr="00EB3C04" w:rsidRDefault="007B4579" w:rsidP="000505C0">
            <w:pPr>
              <w:numPr>
                <w:ilvl w:val="1"/>
                <w:numId w:val="18"/>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CCGG Executive Compensation Principles</w:t>
            </w:r>
          </w:p>
          <w:p w14:paraId="069DFE45" w14:textId="77777777" w:rsidR="007B4579" w:rsidRPr="00EB3C04" w:rsidRDefault="007B4579" w:rsidP="000505C0">
            <w:pPr>
              <w:numPr>
                <w:ilvl w:val="1"/>
                <w:numId w:val="18"/>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Elements of executive compensation</w:t>
            </w:r>
          </w:p>
          <w:p w14:paraId="76305137" w14:textId="77777777" w:rsidR="007B4579" w:rsidRPr="00EB3C04" w:rsidRDefault="007B4579" w:rsidP="000505C0">
            <w:pPr>
              <w:numPr>
                <w:ilvl w:val="2"/>
                <w:numId w:val="19"/>
              </w:numPr>
              <w:shd w:val="clear" w:color="auto" w:fill="FFFFFF"/>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lastRenderedPageBreak/>
              <w:t>Salary and bonus</w:t>
            </w:r>
          </w:p>
          <w:p w14:paraId="36A89501" w14:textId="77777777" w:rsidR="007B4579" w:rsidRPr="00EB3C04" w:rsidRDefault="007B4579" w:rsidP="000505C0">
            <w:pPr>
              <w:numPr>
                <w:ilvl w:val="2"/>
                <w:numId w:val="19"/>
              </w:numPr>
              <w:shd w:val="clear" w:color="auto" w:fill="FFFFFF"/>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Retirement plans</w:t>
            </w:r>
          </w:p>
          <w:p w14:paraId="7C692219" w14:textId="77777777" w:rsidR="007B4579" w:rsidRPr="00EB3C04" w:rsidRDefault="007B4579" w:rsidP="000505C0">
            <w:pPr>
              <w:numPr>
                <w:ilvl w:val="2"/>
                <w:numId w:val="19"/>
              </w:numPr>
              <w:shd w:val="clear" w:color="auto" w:fill="FFFFFF"/>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Benefits and other perquisites</w:t>
            </w:r>
          </w:p>
          <w:p w14:paraId="684E1802" w14:textId="77777777" w:rsidR="007B4579" w:rsidRPr="00EB3C04" w:rsidRDefault="007B4579" w:rsidP="000505C0">
            <w:pPr>
              <w:numPr>
                <w:ilvl w:val="2"/>
                <w:numId w:val="19"/>
              </w:numPr>
              <w:shd w:val="clear" w:color="auto" w:fill="FFFFFF"/>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Severance and change-in-control entitlements</w:t>
            </w:r>
          </w:p>
          <w:p w14:paraId="16FBF98B" w14:textId="77777777" w:rsidR="007B4579" w:rsidRPr="00EB3C04" w:rsidRDefault="007B4579" w:rsidP="000505C0">
            <w:pPr>
              <w:numPr>
                <w:ilvl w:val="2"/>
                <w:numId w:val="19"/>
              </w:numPr>
              <w:shd w:val="clear" w:color="auto" w:fill="FFFFFF"/>
              <w:ind w:left="1680" w:hanging="45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Long-term incentives</w:t>
            </w:r>
          </w:p>
          <w:p w14:paraId="5BA103CA" w14:textId="77777777" w:rsidR="007B4579" w:rsidRPr="00EB3C04" w:rsidRDefault="007B4579" w:rsidP="000505C0">
            <w:pPr>
              <w:numPr>
                <w:ilvl w:val="3"/>
                <w:numId w:val="20"/>
              </w:numPr>
              <w:shd w:val="clear" w:color="auto" w:fill="FFFFFF"/>
              <w:ind w:left="213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Executive stock options (ESOs)</w:t>
            </w:r>
          </w:p>
          <w:p w14:paraId="4B1B425C" w14:textId="77777777" w:rsidR="007B4579" w:rsidRPr="00EB3C04" w:rsidRDefault="007B4579" w:rsidP="000505C0">
            <w:pPr>
              <w:numPr>
                <w:ilvl w:val="3"/>
                <w:numId w:val="20"/>
              </w:numPr>
              <w:shd w:val="clear" w:color="auto" w:fill="FFFFFF"/>
              <w:ind w:left="213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Restrictive share units (RSUs)</w:t>
            </w:r>
          </w:p>
          <w:p w14:paraId="6FCDA56D" w14:textId="77777777" w:rsidR="007B4579" w:rsidRPr="00EB3C04" w:rsidRDefault="007B4579" w:rsidP="000505C0">
            <w:pPr>
              <w:numPr>
                <w:ilvl w:val="3"/>
                <w:numId w:val="20"/>
              </w:numPr>
              <w:shd w:val="clear" w:color="auto" w:fill="FFFFFF"/>
              <w:ind w:left="213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Performance share units (PSUs)\</w:t>
            </w:r>
          </w:p>
          <w:p w14:paraId="3F5036EA" w14:textId="77777777" w:rsidR="007B4579" w:rsidRPr="00EB3C04" w:rsidRDefault="007B4579" w:rsidP="000505C0">
            <w:pPr>
              <w:numPr>
                <w:ilvl w:val="3"/>
                <w:numId w:val="20"/>
              </w:numPr>
              <w:shd w:val="clear" w:color="auto" w:fill="FFFFFF"/>
              <w:ind w:left="213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Deferred share units (DSUs)</w:t>
            </w:r>
          </w:p>
          <w:p w14:paraId="035793A4" w14:textId="77777777" w:rsidR="007B4579" w:rsidRPr="00EB3C04"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Director compensation</w:t>
            </w:r>
          </w:p>
          <w:p w14:paraId="51C7ABE1" w14:textId="77777777" w:rsidR="007B4579" w:rsidRPr="00EB3C04" w:rsidRDefault="007B4579" w:rsidP="000505C0">
            <w:pPr>
              <w:numPr>
                <w:ilvl w:val="1"/>
                <w:numId w:val="21"/>
              </w:numPr>
              <w:shd w:val="clear" w:color="auto" w:fill="FFFFFF"/>
              <w:ind w:left="1140"/>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CCGG Director Compensation Policy</w:t>
            </w:r>
          </w:p>
          <w:p w14:paraId="3DA80648" w14:textId="6FB5DC64" w:rsidR="007B4579" w:rsidRPr="007B4579" w:rsidRDefault="007B4579" w:rsidP="000505C0">
            <w:pPr>
              <w:numPr>
                <w:ilvl w:val="0"/>
                <w:numId w:val="12"/>
              </w:numPr>
              <w:shd w:val="clear" w:color="auto" w:fill="FFFFFF"/>
              <w:rPr>
                <w:rFonts w:asciiTheme="minorHAnsi" w:eastAsia="Times New Roman" w:hAnsiTheme="minorHAnsi" w:cstheme="minorHAnsi"/>
                <w:b w:val="0"/>
                <w:color w:val="2D2D2D"/>
                <w:sz w:val="24"/>
                <w:szCs w:val="24"/>
                <w:u w:val="none"/>
              </w:rPr>
            </w:pPr>
            <w:r w:rsidRPr="00EB3C04">
              <w:rPr>
                <w:rFonts w:asciiTheme="minorHAnsi" w:eastAsia="Times New Roman" w:hAnsiTheme="minorHAnsi" w:cstheme="minorHAnsi"/>
                <w:b w:val="0"/>
                <w:color w:val="2D2D2D"/>
                <w:sz w:val="24"/>
                <w:szCs w:val="24"/>
                <w:u w:val="none"/>
              </w:rPr>
              <w:t>Research results</w:t>
            </w:r>
          </w:p>
        </w:tc>
      </w:tr>
    </w:tbl>
    <w:p w14:paraId="3A457584" w14:textId="77777777" w:rsidR="00105A9F" w:rsidRDefault="00105A9F" w:rsidP="00EC6E89">
      <w:pPr>
        <w:spacing w:after="0" w:line="240" w:lineRule="auto"/>
        <w:rPr>
          <w:rFonts w:eastAsia="Times New Roman" w:cs="Times New Roman"/>
          <w:b/>
          <w:sz w:val="28"/>
          <w:szCs w:val="28"/>
        </w:rPr>
      </w:pPr>
    </w:p>
    <w:p w14:paraId="54B115C8" w14:textId="7B95756C" w:rsidR="00DE3104" w:rsidRDefault="00C23629" w:rsidP="00EC6E89">
      <w:pPr>
        <w:spacing w:after="0" w:line="240" w:lineRule="auto"/>
        <w:rPr>
          <w:rFonts w:eastAsia="Times New Roman" w:cs="Times New Roman"/>
          <w:b/>
          <w:sz w:val="28"/>
          <w:szCs w:val="28"/>
        </w:rPr>
      </w:pPr>
      <w:r w:rsidRPr="00C23629">
        <w:rPr>
          <w:rFonts w:eastAsia="Times New Roman" w:cs="Times New Roman"/>
          <w:b/>
          <w:sz w:val="28"/>
          <w:szCs w:val="28"/>
        </w:rPr>
        <w:t>Course Schedule</w:t>
      </w:r>
      <w:r w:rsidR="00825264">
        <w:rPr>
          <w:rFonts w:eastAsia="Times New Roman" w:cs="Times New Roman"/>
          <w:b/>
          <w:sz w:val="28"/>
          <w:szCs w:val="28"/>
        </w:rPr>
        <w:t xml:space="preserve"> </w:t>
      </w:r>
    </w:p>
    <w:p w14:paraId="7EB1DA7B" w14:textId="77777777" w:rsidR="00471D7D" w:rsidRPr="00471D7D" w:rsidRDefault="00471D7D" w:rsidP="00EC6E89">
      <w:pPr>
        <w:spacing w:after="0" w:line="240" w:lineRule="auto"/>
        <w:rPr>
          <w:rFonts w:eastAsia="Times New Roman" w:cs="Times New Roman"/>
          <w:b/>
          <w:sz w:val="20"/>
          <w:szCs w:val="20"/>
        </w:rPr>
      </w:pPr>
    </w:p>
    <w:p w14:paraId="661F2237" w14:textId="77777777" w:rsidR="007A7D0E" w:rsidRPr="00F73F2A" w:rsidRDefault="007A7D0E" w:rsidP="00EC6E89">
      <w:pPr>
        <w:spacing w:after="0" w:line="240" w:lineRule="auto"/>
        <w:rPr>
          <w:rFonts w:eastAsia="Times New Roman" w:cs="Times New Roman"/>
          <w:b/>
          <w:sz w:val="16"/>
          <w:szCs w:val="16"/>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80"/>
        <w:gridCol w:w="3510"/>
        <w:gridCol w:w="3960"/>
      </w:tblGrid>
      <w:tr w:rsidR="000F6F1A" w:rsidRPr="003618CA" w14:paraId="2460A591" w14:textId="77777777" w:rsidTr="00145F46">
        <w:trPr>
          <w:trHeight w:val="170"/>
        </w:trPr>
        <w:tc>
          <w:tcPr>
            <w:tcW w:w="2880" w:type="dxa"/>
            <w:shd w:val="clear" w:color="auto" w:fill="D9D9D9" w:themeFill="background1" w:themeFillShade="D9"/>
            <w:tcMar>
              <w:top w:w="43" w:type="dxa"/>
              <w:left w:w="43" w:type="dxa"/>
              <w:bottom w:w="43" w:type="dxa"/>
              <w:right w:w="43" w:type="dxa"/>
            </w:tcMar>
            <w:vAlign w:val="center"/>
            <w:hideMark/>
          </w:tcPr>
          <w:p w14:paraId="325D525F" w14:textId="77777777" w:rsidR="000F6F1A" w:rsidRPr="007A185A" w:rsidRDefault="000F6F1A" w:rsidP="005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jc w:val="center"/>
              <w:rPr>
                <w:rFonts w:eastAsia="Times New Roman" w:cstheme="minorHAnsi"/>
                <w:color w:val="212529"/>
                <w:lang w:eastAsia="en-CA"/>
              </w:rPr>
            </w:pPr>
            <w:bookmarkStart w:id="0" w:name="_Hlk77155644"/>
            <w:r w:rsidRPr="007A185A">
              <w:rPr>
                <w:rFonts w:eastAsia="Times New Roman" w:cstheme="minorHAnsi"/>
                <w:b/>
                <w:bCs/>
                <w:color w:val="212529"/>
                <w:lang w:val="en-GB" w:eastAsia="en-CA"/>
              </w:rPr>
              <w:t>Week</w:t>
            </w:r>
          </w:p>
        </w:tc>
        <w:tc>
          <w:tcPr>
            <w:tcW w:w="3510" w:type="dxa"/>
            <w:shd w:val="clear" w:color="auto" w:fill="D9D9D9" w:themeFill="background1" w:themeFillShade="D9"/>
            <w:tcMar>
              <w:top w:w="43" w:type="dxa"/>
              <w:left w:w="43" w:type="dxa"/>
              <w:bottom w:w="43" w:type="dxa"/>
              <w:right w:w="43" w:type="dxa"/>
            </w:tcMar>
            <w:hideMark/>
          </w:tcPr>
          <w:p w14:paraId="412DD81C" w14:textId="77777777" w:rsidR="000F6F1A" w:rsidRPr="007A185A" w:rsidRDefault="000F6F1A" w:rsidP="005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212529"/>
                <w:lang w:eastAsia="en-CA"/>
              </w:rPr>
            </w:pPr>
            <w:r w:rsidRPr="007A185A">
              <w:rPr>
                <w:rFonts w:eastAsia="Times New Roman" w:cstheme="minorHAnsi"/>
                <w:b/>
                <w:bCs/>
                <w:color w:val="212529"/>
                <w:lang w:val="en-GB" w:eastAsia="en-CA"/>
              </w:rPr>
              <w:t>Module</w:t>
            </w:r>
          </w:p>
        </w:tc>
        <w:tc>
          <w:tcPr>
            <w:tcW w:w="3960" w:type="dxa"/>
            <w:shd w:val="clear" w:color="auto" w:fill="D9D9D9" w:themeFill="background1" w:themeFillShade="D9"/>
            <w:tcMar>
              <w:top w:w="43" w:type="dxa"/>
              <w:left w:w="43" w:type="dxa"/>
              <w:bottom w:w="43" w:type="dxa"/>
              <w:right w:w="43" w:type="dxa"/>
            </w:tcMar>
            <w:hideMark/>
          </w:tcPr>
          <w:p w14:paraId="16C87C99" w14:textId="079DCA6A" w:rsidR="000F6F1A" w:rsidRPr="007A185A" w:rsidRDefault="005737EB" w:rsidP="0057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529"/>
                <w:lang w:eastAsia="en-CA"/>
              </w:rPr>
            </w:pPr>
            <w:r w:rsidRPr="007A185A">
              <w:rPr>
                <w:rFonts w:eastAsia="Times New Roman" w:cstheme="minorHAnsi"/>
                <w:b/>
                <w:color w:val="212529"/>
                <w:lang w:eastAsia="en-CA"/>
              </w:rPr>
              <w:t>Evaluation</w:t>
            </w:r>
          </w:p>
        </w:tc>
      </w:tr>
      <w:tr w:rsidR="00F462FD" w:rsidRPr="003618CA" w14:paraId="336E800C" w14:textId="77777777" w:rsidTr="00145F46">
        <w:trPr>
          <w:trHeight w:val="388"/>
        </w:trPr>
        <w:tc>
          <w:tcPr>
            <w:tcW w:w="2880" w:type="dxa"/>
            <w:shd w:val="clear" w:color="auto" w:fill="FFFFFF"/>
            <w:tcMar>
              <w:top w:w="43" w:type="dxa"/>
              <w:left w:w="43" w:type="dxa"/>
              <w:bottom w:w="43" w:type="dxa"/>
              <w:right w:w="43" w:type="dxa"/>
            </w:tcMar>
            <w:vAlign w:val="center"/>
          </w:tcPr>
          <w:p w14:paraId="6F0982C8" w14:textId="77777777" w:rsidR="00F462FD"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August 31 – September 6</w:t>
            </w:r>
          </w:p>
          <w:p w14:paraId="5AEB309C" w14:textId="77777777" w:rsidR="00F462FD"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0BB4B78D" w14:textId="77777777" w:rsidR="00F462FD"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b/>
                <w:bCs/>
                <w:color w:val="212529"/>
                <w:sz w:val="18"/>
                <w:szCs w:val="18"/>
                <w:lang w:eastAsia="en-CA"/>
              </w:rPr>
            </w:pPr>
            <w:r w:rsidRPr="00686A0D">
              <w:rPr>
                <w:rFonts w:eastAsia="Times New Roman" w:cstheme="minorHAnsi"/>
                <w:b/>
                <w:bCs/>
                <w:color w:val="212529"/>
                <w:sz w:val="18"/>
                <w:szCs w:val="18"/>
                <w:lang w:eastAsia="en-CA"/>
              </w:rPr>
              <w:t>Monday is a statutory holiday.</w:t>
            </w:r>
          </w:p>
          <w:p w14:paraId="2ABC770E" w14:textId="2EF25EC3" w:rsidR="00F462FD" w:rsidRPr="00D03E17"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b/>
                <w:bCs/>
                <w:color w:val="212529"/>
                <w:sz w:val="18"/>
                <w:szCs w:val="18"/>
                <w:lang w:eastAsia="en-CA"/>
              </w:rPr>
              <w:t>Tuesday is Orientation Day.</w:t>
            </w:r>
          </w:p>
        </w:tc>
        <w:tc>
          <w:tcPr>
            <w:tcW w:w="3510" w:type="dxa"/>
            <w:tcBorders>
              <w:top w:val="single" w:sz="4" w:space="0" w:color="auto"/>
            </w:tcBorders>
            <w:tcMar>
              <w:top w:w="43" w:type="dxa"/>
              <w:left w:w="43" w:type="dxa"/>
              <w:bottom w:w="43" w:type="dxa"/>
              <w:right w:w="43" w:type="dxa"/>
            </w:tcMar>
            <w:vAlign w:val="center"/>
          </w:tcPr>
          <w:p w14:paraId="0D8E8387" w14:textId="77777777" w:rsidR="00F462FD"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Introduction</w:t>
            </w:r>
          </w:p>
          <w:p w14:paraId="718E566B" w14:textId="77777777" w:rsidR="00B2466D" w:rsidRDefault="00B2466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1B302396" w14:textId="4BE8968C" w:rsidR="00B2466D" w:rsidRPr="009035C8" w:rsidRDefault="00B2466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Review of Financial Statement Analysis</w:t>
            </w:r>
          </w:p>
        </w:tc>
        <w:tc>
          <w:tcPr>
            <w:tcW w:w="3960" w:type="dxa"/>
            <w:tcBorders>
              <w:top w:val="single" w:sz="4" w:space="0" w:color="auto"/>
            </w:tcBorders>
            <w:tcMar>
              <w:top w:w="43" w:type="dxa"/>
              <w:left w:w="43" w:type="dxa"/>
              <w:bottom w:w="43" w:type="dxa"/>
              <w:right w:w="43" w:type="dxa"/>
            </w:tcMar>
            <w:vAlign w:val="center"/>
          </w:tcPr>
          <w:p w14:paraId="20D2009E" w14:textId="45F197DF" w:rsidR="00F462FD" w:rsidRPr="009035C8" w:rsidRDefault="007515C6"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F462FD" w:rsidRPr="003618CA" w14:paraId="57C97F13" w14:textId="77777777" w:rsidTr="00145F46">
        <w:trPr>
          <w:trHeight w:val="64"/>
        </w:trPr>
        <w:tc>
          <w:tcPr>
            <w:tcW w:w="2880" w:type="dxa"/>
            <w:shd w:val="clear" w:color="auto" w:fill="FFFFFF"/>
            <w:tcMar>
              <w:top w:w="43" w:type="dxa"/>
              <w:left w:w="43" w:type="dxa"/>
              <w:bottom w:w="43" w:type="dxa"/>
              <w:right w:w="43" w:type="dxa"/>
            </w:tcMar>
            <w:vAlign w:val="center"/>
          </w:tcPr>
          <w:p w14:paraId="31330D40" w14:textId="232A1DB5" w:rsidR="00F462FD" w:rsidRPr="009035C8"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September 7 – September 13</w:t>
            </w:r>
          </w:p>
        </w:tc>
        <w:tc>
          <w:tcPr>
            <w:tcW w:w="3510" w:type="dxa"/>
            <w:tcMar>
              <w:top w:w="43" w:type="dxa"/>
              <w:left w:w="43" w:type="dxa"/>
              <w:bottom w:w="43" w:type="dxa"/>
              <w:right w:w="43" w:type="dxa"/>
            </w:tcMar>
            <w:vAlign w:val="center"/>
          </w:tcPr>
          <w:p w14:paraId="0E900F45" w14:textId="21945D29" w:rsidR="00F462FD" w:rsidRPr="00D04DC2"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Dividends and Dividend Policy</w:t>
            </w:r>
          </w:p>
        </w:tc>
        <w:tc>
          <w:tcPr>
            <w:tcW w:w="3960" w:type="dxa"/>
            <w:tcMar>
              <w:top w:w="43" w:type="dxa"/>
              <w:left w:w="43" w:type="dxa"/>
              <w:bottom w:w="43" w:type="dxa"/>
              <w:right w:w="43" w:type="dxa"/>
            </w:tcMar>
            <w:vAlign w:val="center"/>
          </w:tcPr>
          <w:p w14:paraId="1882B9F7" w14:textId="77777777" w:rsidR="00F462FD" w:rsidRDefault="007515C6"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1 – Financial Statement Analysis</w:t>
            </w:r>
          </w:p>
          <w:p w14:paraId="47A67453" w14:textId="4CFDCD87" w:rsidR="00B73F90" w:rsidRPr="009035C8" w:rsidRDefault="00B73F90"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w:t>
            </w:r>
            <w:r w:rsidR="00027E52">
              <w:rPr>
                <w:rFonts w:eastAsia="Times New Roman" w:cstheme="minorHAnsi"/>
                <w:color w:val="212529"/>
                <w:sz w:val="20"/>
                <w:szCs w:val="20"/>
                <w:lang w:eastAsia="en-CA"/>
              </w:rPr>
              <w:t>September 12</w:t>
            </w:r>
          </w:p>
        </w:tc>
      </w:tr>
      <w:tr w:rsidR="00F462FD" w:rsidRPr="003618CA" w14:paraId="4D081D32" w14:textId="77777777" w:rsidTr="00145F46">
        <w:tc>
          <w:tcPr>
            <w:tcW w:w="2880" w:type="dxa"/>
            <w:shd w:val="clear" w:color="auto" w:fill="FFFFFF"/>
            <w:tcMar>
              <w:top w:w="43" w:type="dxa"/>
              <w:left w:w="43" w:type="dxa"/>
              <w:bottom w:w="43" w:type="dxa"/>
              <w:right w:w="43" w:type="dxa"/>
            </w:tcMar>
            <w:vAlign w:val="center"/>
          </w:tcPr>
          <w:p w14:paraId="681CDD75" w14:textId="21C26B71" w:rsidR="00F462FD" w:rsidRPr="009035C8"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September 14 – September 20</w:t>
            </w:r>
          </w:p>
        </w:tc>
        <w:tc>
          <w:tcPr>
            <w:tcW w:w="3510" w:type="dxa"/>
            <w:tcMar>
              <w:top w:w="43" w:type="dxa"/>
              <w:left w:w="43" w:type="dxa"/>
              <w:bottom w:w="43" w:type="dxa"/>
              <w:right w:w="43" w:type="dxa"/>
            </w:tcMar>
            <w:vAlign w:val="center"/>
          </w:tcPr>
          <w:p w14:paraId="3668BE60" w14:textId="46D88283" w:rsidR="00F462FD" w:rsidRPr="00D04DC2"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Maturity Matching</w:t>
            </w:r>
          </w:p>
        </w:tc>
        <w:tc>
          <w:tcPr>
            <w:tcW w:w="3960" w:type="dxa"/>
            <w:tcMar>
              <w:top w:w="43" w:type="dxa"/>
              <w:left w:w="43" w:type="dxa"/>
              <w:bottom w:w="43" w:type="dxa"/>
              <w:right w:w="43" w:type="dxa"/>
            </w:tcMar>
            <w:vAlign w:val="center"/>
          </w:tcPr>
          <w:p w14:paraId="282B4D5C" w14:textId="77777777" w:rsidR="00F462FD" w:rsidRDefault="007515C6"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2</w:t>
            </w:r>
            <w:r w:rsidRPr="009035C8">
              <w:rPr>
                <w:rFonts w:eastAsia="Times New Roman" w:cstheme="minorHAnsi"/>
                <w:color w:val="212529"/>
                <w:sz w:val="20"/>
                <w:szCs w:val="20"/>
                <w:lang w:eastAsia="en-CA"/>
              </w:rPr>
              <w:t xml:space="preserve"> – Dividends and Dividend Policy</w:t>
            </w:r>
          </w:p>
          <w:p w14:paraId="6B5C3FCA" w14:textId="6CD3CF2D" w:rsidR="00027E52" w:rsidRPr="009035C8" w:rsidRDefault="00027E52"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19</w:t>
            </w:r>
          </w:p>
        </w:tc>
      </w:tr>
      <w:tr w:rsidR="00F462FD" w:rsidRPr="003618CA" w14:paraId="4DDE3B46" w14:textId="77777777" w:rsidTr="00145F46">
        <w:tc>
          <w:tcPr>
            <w:tcW w:w="2880" w:type="dxa"/>
            <w:shd w:val="clear" w:color="auto" w:fill="FFFFFF"/>
            <w:tcMar>
              <w:top w:w="43" w:type="dxa"/>
              <w:left w:w="43" w:type="dxa"/>
              <w:bottom w:w="43" w:type="dxa"/>
              <w:right w:w="43" w:type="dxa"/>
            </w:tcMar>
            <w:vAlign w:val="center"/>
          </w:tcPr>
          <w:p w14:paraId="4B54E7E5" w14:textId="3AA09ADA" w:rsidR="00F462FD" w:rsidRPr="009035C8"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September 21 – September 27</w:t>
            </w:r>
          </w:p>
        </w:tc>
        <w:tc>
          <w:tcPr>
            <w:tcW w:w="3510" w:type="dxa"/>
            <w:tcMar>
              <w:top w:w="43" w:type="dxa"/>
              <w:left w:w="43" w:type="dxa"/>
              <w:bottom w:w="43" w:type="dxa"/>
              <w:right w:w="43" w:type="dxa"/>
            </w:tcMar>
            <w:vAlign w:val="center"/>
          </w:tcPr>
          <w:p w14:paraId="34D24A56" w14:textId="77777777" w:rsidR="00F462FD" w:rsidRDefault="00F83AC4"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Maturity Matching</w:t>
            </w:r>
          </w:p>
          <w:p w14:paraId="7BC4655F" w14:textId="77777777" w:rsidR="00D12F84" w:rsidRDefault="00D12F84"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13512924" w14:textId="10C7E447" w:rsidR="00D12F84" w:rsidRPr="00DC3003" w:rsidRDefault="00D12F84"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Financial Planning and Growt</w:t>
            </w:r>
            <w:r>
              <w:rPr>
                <w:rFonts w:cstheme="minorHAnsi"/>
                <w:spacing w:val="-2"/>
                <w:sz w:val="20"/>
                <w:szCs w:val="20"/>
                <w:lang w:val="en-GB"/>
              </w:rPr>
              <w:t>h</w:t>
            </w:r>
          </w:p>
        </w:tc>
        <w:tc>
          <w:tcPr>
            <w:tcW w:w="3960" w:type="dxa"/>
            <w:tcMar>
              <w:top w:w="43" w:type="dxa"/>
              <w:left w:w="43" w:type="dxa"/>
              <w:bottom w:w="43" w:type="dxa"/>
              <w:right w:w="43" w:type="dxa"/>
            </w:tcMar>
            <w:vAlign w:val="center"/>
          </w:tcPr>
          <w:p w14:paraId="22ED3C9C" w14:textId="77777777" w:rsidR="00F462FD" w:rsidRDefault="00A44B63"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3</w:t>
            </w:r>
            <w:r w:rsidRPr="009035C8">
              <w:rPr>
                <w:rFonts w:eastAsia="Times New Roman" w:cstheme="minorHAnsi"/>
                <w:color w:val="212529"/>
                <w:sz w:val="20"/>
                <w:szCs w:val="20"/>
                <w:lang w:eastAsia="en-CA"/>
              </w:rPr>
              <w:t xml:space="preserve"> – Maturity Matching</w:t>
            </w:r>
          </w:p>
          <w:p w14:paraId="2BA4019A" w14:textId="656C65DC" w:rsidR="00027E52" w:rsidRPr="009035C8" w:rsidRDefault="00027E52"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September 26</w:t>
            </w:r>
          </w:p>
        </w:tc>
      </w:tr>
      <w:tr w:rsidR="00F462FD" w:rsidRPr="003618CA" w14:paraId="5C781669" w14:textId="77777777" w:rsidTr="00145F46">
        <w:tc>
          <w:tcPr>
            <w:tcW w:w="2880" w:type="dxa"/>
            <w:shd w:val="clear" w:color="auto" w:fill="FFFFFF"/>
            <w:tcMar>
              <w:top w:w="43" w:type="dxa"/>
              <w:left w:w="43" w:type="dxa"/>
              <w:bottom w:w="43" w:type="dxa"/>
              <w:right w:w="43" w:type="dxa"/>
            </w:tcMar>
            <w:vAlign w:val="center"/>
          </w:tcPr>
          <w:p w14:paraId="3E617E01" w14:textId="77777777" w:rsidR="00F462FD"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r>
              <w:rPr>
                <w:rFonts w:eastAsia="Times New Roman" w:cstheme="minorHAnsi"/>
                <w:color w:val="212529"/>
                <w:sz w:val="18"/>
                <w:szCs w:val="18"/>
                <w:lang w:eastAsia="en-CA"/>
              </w:rPr>
              <w:t>September 28 – October 4</w:t>
            </w:r>
          </w:p>
          <w:p w14:paraId="3D2BB9EA" w14:textId="77777777" w:rsidR="00F462FD"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p>
          <w:p w14:paraId="6194CD76" w14:textId="51881FC5" w:rsidR="00F462FD" w:rsidRPr="00D03E17"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8" w:hanging="240"/>
              <w:rPr>
                <w:rFonts w:eastAsia="Times New Roman" w:cstheme="minorHAnsi"/>
                <w:color w:val="212529"/>
                <w:sz w:val="18"/>
                <w:szCs w:val="18"/>
                <w:lang w:eastAsia="en-CA"/>
              </w:rPr>
            </w:pPr>
            <w:r w:rsidRPr="00686A0D">
              <w:rPr>
                <w:rFonts w:eastAsia="Times New Roman" w:cstheme="minorHAnsi"/>
                <w:b/>
                <w:bCs/>
                <w:color w:val="212529"/>
                <w:sz w:val="18"/>
                <w:szCs w:val="18"/>
                <w:lang w:eastAsia="en-CA"/>
              </w:rPr>
              <w:t xml:space="preserve">Tuesday is a statutory holiday. </w:t>
            </w:r>
          </w:p>
        </w:tc>
        <w:tc>
          <w:tcPr>
            <w:tcW w:w="3510" w:type="dxa"/>
            <w:tcMar>
              <w:top w:w="43" w:type="dxa"/>
              <w:left w:w="43" w:type="dxa"/>
              <w:bottom w:w="43" w:type="dxa"/>
              <w:right w:w="43" w:type="dxa"/>
            </w:tcMar>
            <w:vAlign w:val="center"/>
          </w:tcPr>
          <w:p w14:paraId="249B0A53" w14:textId="28C0923C" w:rsidR="001871CB" w:rsidRPr="001871CB" w:rsidRDefault="00DE22A9"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sidRPr="009035C8">
              <w:rPr>
                <w:rFonts w:cstheme="minorHAnsi"/>
                <w:spacing w:val="-2"/>
                <w:sz w:val="20"/>
                <w:szCs w:val="20"/>
                <w:lang w:val="en-GB"/>
              </w:rPr>
              <w:t>Financial Planning and Growt</w:t>
            </w:r>
            <w:r>
              <w:rPr>
                <w:rFonts w:cstheme="minorHAnsi"/>
                <w:spacing w:val="-2"/>
                <w:sz w:val="20"/>
                <w:szCs w:val="20"/>
                <w:lang w:val="en-GB"/>
              </w:rPr>
              <w:t>h</w:t>
            </w:r>
          </w:p>
        </w:tc>
        <w:tc>
          <w:tcPr>
            <w:tcW w:w="3960" w:type="dxa"/>
            <w:tcMar>
              <w:top w:w="43" w:type="dxa"/>
              <w:left w:w="43" w:type="dxa"/>
              <w:bottom w:w="43" w:type="dxa"/>
              <w:right w:w="43" w:type="dxa"/>
            </w:tcMar>
            <w:vAlign w:val="center"/>
          </w:tcPr>
          <w:p w14:paraId="6AE7DF8D" w14:textId="51ECA998" w:rsidR="00F462FD" w:rsidRPr="009035C8" w:rsidRDefault="00027E52"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F462FD" w:rsidRPr="00CA476B" w14:paraId="3A1383D0" w14:textId="77777777" w:rsidTr="00145F46">
        <w:tc>
          <w:tcPr>
            <w:tcW w:w="2880" w:type="dxa"/>
            <w:shd w:val="clear" w:color="auto" w:fill="FFFFFF"/>
            <w:tcMar>
              <w:top w:w="43" w:type="dxa"/>
              <w:left w:w="43" w:type="dxa"/>
              <w:bottom w:w="43" w:type="dxa"/>
              <w:right w:w="43" w:type="dxa"/>
            </w:tcMar>
            <w:vAlign w:val="center"/>
          </w:tcPr>
          <w:p w14:paraId="0600B375" w14:textId="6E37B9A1" w:rsidR="00F462FD" w:rsidRPr="009035C8" w:rsidRDefault="00F462FD"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5 – October 11</w:t>
            </w:r>
          </w:p>
        </w:tc>
        <w:tc>
          <w:tcPr>
            <w:tcW w:w="3510" w:type="dxa"/>
            <w:shd w:val="clear" w:color="auto" w:fill="FFFFFF" w:themeFill="background1"/>
            <w:tcMar>
              <w:top w:w="43" w:type="dxa"/>
              <w:left w:w="43" w:type="dxa"/>
              <w:bottom w:w="43" w:type="dxa"/>
              <w:right w:w="43" w:type="dxa"/>
            </w:tcMar>
            <w:vAlign w:val="center"/>
          </w:tcPr>
          <w:p w14:paraId="577932F5" w14:textId="6A31075E" w:rsidR="00F462FD" w:rsidRPr="00921B56" w:rsidRDefault="002868FB"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val="en-GB" w:eastAsia="en-CA"/>
              </w:rPr>
            </w:pPr>
            <w:r>
              <w:rPr>
                <w:rFonts w:eastAsia="Times New Roman" w:cstheme="minorHAnsi"/>
                <w:color w:val="212529"/>
                <w:sz w:val="20"/>
                <w:szCs w:val="20"/>
                <w:lang w:val="en-GB" w:eastAsia="en-CA"/>
              </w:rPr>
              <w:t>Working Capital Management</w:t>
            </w:r>
          </w:p>
        </w:tc>
        <w:tc>
          <w:tcPr>
            <w:tcW w:w="3960" w:type="dxa"/>
            <w:shd w:val="clear" w:color="auto" w:fill="FFFFFF" w:themeFill="background1"/>
            <w:tcMar>
              <w:top w:w="43" w:type="dxa"/>
              <w:left w:w="43" w:type="dxa"/>
              <w:bottom w:w="43" w:type="dxa"/>
              <w:right w:w="43" w:type="dxa"/>
            </w:tcMar>
            <w:vAlign w:val="center"/>
          </w:tcPr>
          <w:p w14:paraId="63374239" w14:textId="77777777" w:rsidR="00F462FD" w:rsidRDefault="002A3182"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9035C8">
              <w:rPr>
                <w:rFonts w:eastAsia="Times New Roman" w:cstheme="minorHAnsi"/>
                <w:color w:val="212529"/>
                <w:sz w:val="20"/>
                <w:szCs w:val="20"/>
                <w:lang w:eastAsia="en-CA"/>
              </w:rPr>
              <w:t xml:space="preserve">Quiz </w:t>
            </w:r>
            <w:r>
              <w:rPr>
                <w:rFonts w:eastAsia="Times New Roman" w:cstheme="minorHAnsi"/>
                <w:color w:val="212529"/>
                <w:sz w:val="20"/>
                <w:szCs w:val="20"/>
                <w:lang w:eastAsia="en-CA"/>
              </w:rPr>
              <w:t>4</w:t>
            </w:r>
            <w:r w:rsidRPr="009035C8">
              <w:rPr>
                <w:rFonts w:eastAsia="Times New Roman" w:cstheme="minorHAnsi"/>
                <w:color w:val="212529"/>
                <w:sz w:val="20"/>
                <w:szCs w:val="20"/>
                <w:lang w:eastAsia="en-CA"/>
              </w:rPr>
              <w:t xml:space="preserve"> – Financial Planning and Growth</w:t>
            </w:r>
          </w:p>
          <w:p w14:paraId="63F145E6" w14:textId="51A65B3D" w:rsidR="00027E52" w:rsidRPr="009035C8" w:rsidRDefault="00027E52" w:rsidP="00F4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Pr>
                <w:rFonts w:eastAsia="Times New Roman" w:cstheme="minorHAnsi"/>
                <w:bCs/>
                <w:color w:val="212529"/>
                <w:sz w:val="20"/>
                <w:szCs w:val="20"/>
                <w:lang w:val="en-GB" w:eastAsia="en-CA"/>
              </w:rPr>
              <w:t>Friday, October 10</w:t>
            </w:r>
          </w:p>
        </w:tc>
      </w:tr>
      <w:tr w:rsidR="002A3182" w:rsidRPr="003618CA" w14:paraId="3DB3AE65" w14:textId="77777777" w:rsidTr="00145F46">
        <w:tc>
          <w:tcPr>
            <w:tcW w:w="2880" w:type="dxa"/>
            <w:shd w:val="clear" w:color="auto" w:fill="FFFFFF"/>
            <w:tcMar>
              <w:top w:w="43" w:type="dxa"/>
              <w:left w:w="43" w:type="dxa"/>
              <w:bottom w:w="43" w:type="dxa"/>
              <w:right w:w="43" w:type="dxa"/>
            </w:tcMar>
            <w:vAlign w:val="center"/>
          </w:tcPr>
          <w:p w14:paraId="6AD9595C"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12 – October 18</w:t>
            </w:r>
          </w:p>
          <w:p w14:paraId="2F4612A3"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19B494B0" w14:textId="2E45C691" w:rsidR="002A3182" w:rsidRPr="00D03E17"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sidRPr="00686A0D">
              <w:rPr>
                <w:rFonts w:eastAsia="Times New Roman" w:cstheme="minorHAnsi"/>
                <w:b/>
                <w:bCs/>
                <w:color w:val="212529"/>
                <w:sz w:val="20"/>
                <w:szCs w:val="20"/>
                <w:lang w:eastAsia="en-CA"/>
              </w:rPr>
              <w:t>Monday is a statutory holiday.</w:t>
            </w:r>
          </w:p>
        </w:tc>
        <w:tc>
          <w:tcPr>
            <w:tcW w:w="3510" w:type="dxa"/>
            <w:shd w:val="clear" w:color="auto" w:fill="FFFFFF" w:themeFill="background1"/>
            <w:tcMar>
              <w:top w:w="43" w:type="dxa"/>
              <w:left w:w="43" w:type="dxa"/>
              <w:bottom w:w="43" w:type="dxa"/>
              <w:right w:w="43" w:type="dxa"/>
            </w:tcMar>
            <w:vAlign w:val="center"/>
          </w:tcPr>
          <w:p w14:paraId="3FB8DA69" w14:textId="2D370D83" w:rsidR="002A3182" w:rsidRPr="00DC3003" w:rsidRDefault="002A3182" w:rsidP="002A3182">
            <w:pPr>
              <w:spacing w:after="0" w:line="240" w:lineRule="auto"/>
              <w:rPr>
                <w:rFonts w:eastAsiaTheme="minorHAnsi" w:cstheme="minorHAnsi"/>
                <w:bCs/>
                <w:sz w:val="20"/>
                <w:szCs w:val="20"/>
              </w:rPr>
            </w:pPr>
            <w:r>
              <w:rPr>
                <w:rFonts w:eastAsiaTheme="minorHAnsi" w:cstheme="minorHAnsi"/>
                <w:bCs/>
                <w:sz w:val="20"/>
                <w:szCs w:val="20"/>
              </w:rPr>
              <w:t>Working Capital Management</w:t>
            </w:r>
          </w:p>
        </w:tc>
        <w:tc>
          <w:tcPr>
            <w:tcW w:w="3960" w:type="dxa"/>
            <w:shd w:val="clear" w:color="auto" w:fill="FFFFFF" w:themeFill="background1"/>
            <w:tcMar>
              <w:top w:w="43" w:type="dxa"/>
              <w:left w:w="43" w:type="dxa"/>
              <w:bottom w:w="43" w:type="dxa"/>
              <w:right w:w="43" w:type="dxa"/>
            </w:tcMar>
            <w:vAlign w:val="center"/>
          </w:tcPr>
          <w:p w14:paraId="233A5CC9" w14:textId="77777777" w:rsidR="002A3182" w:rsidRDefault="00496DB6"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Cs/>
                <w:color w:val="212529"/>
                <w:sz w:val="20"/>
                <w:szCs w:val="20"/>
                <w:lang w:val="en-GB" w:eastAsia="en-CA"/>
              </w:rPr>
            </w:pPr>
            <w:r w:rsidRPr="009035C8">
              <w:rPr>
                <w:rFonts w:eastAsia="Times New Roman" w:cstheme="minorHAnsi"/>
                <w:bCs/>
                <w:color w:val="212529"/>
                <w:sz w:val="20"/>
                <w:szCs w:val="20"/>
                <w:lang w:val="en-GB" w:eastAsia="en-CA"/>
              </w:rPr>
              <w:t xml:space="preserve">Quiz </w:t>
            </w:r>
            <w:r>
              <w:rPr>
                <w:rFonts w:eastAsia="Times New Roman" w:cstheme="minorHAnsi"/>
                <w:bCs/>
                <w:color w:val="212529"/>
                <w:sz w:val="20"/>
                <w:szCs w:val="20"/>
                <w:lang w:val="en-GB" w:eastAsia="en-CA"/>
              </w:rPr>
              <w:t>5</w:t>
            </w:r>
            <w:r w:rsidRPr="009035C8">
              <w:rPr>
                <w:rFonts w:eastAsia="Times New Roman" w:cstheme="minorHAnsi"/>
                <w:bCs/>
                <w:color w:val="212529"/>
                <w:sz w:val="20"/>
                <w:szCs w:val="20"/>
                <w:lang w:val="en-GB" w:eastAsia="en-CA"/>
              </w:rPr>
              <w:t xml:space="preserve"> – Working Capital Management</w:t>
            </w:r>
            <w:r>
              <w:rPr>
                <w:rFonts w:eastAsia="Times New Roman" w:cstheme="minorHAnsi"/>
                <w:bCs/>
                <w:color w:val="212529"/>
                <w:sz w:val="20"/>
                <w:szCs w:val="20"/>
                <w:lang w:val="en-GB" w:eastAsia="en-CA"/>
              </w:rPr>
              <w:t xml:space="preserve"> </w:t>
            </w:r>
          </w:p>
          <w:p w14:paraId="20497900" w14:textId="3B7077A1" w:rsidR="00EA2D9E" w:rsidRPr="009035C8" w:rsidRDefault="00EA2D9E"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bCs/>
                <w:color w:val="212529"/>
                <w:sz w:val="20"/>
                <w:szCs w:val="20"/>
                <w:lang w:val="en-GB" w:eastAsia="en-CA"/>
              </w:rPr>
              <w:t>Friday, October 17</w:t>
            </w:r>
          </w:p>
        </w:tc>
      </w:tr>
      <w:tr w:rsidR="002A3182" w:rsidRPr="003618CA" w14:paraId="10AC6674" w14:textId="77777777" w:rsidTr="00145F46">
        <w:tc>
          <w:tcPr>
            <w:tcW w:w="2880" w:type="dxa"/>
            <w:shd w:val="clear" w:color="auto" w:fill="FFFFFF"/>
            <w:tcMar>
              <w:top w:w="43" w:type="dxa"/>
              <w:left w:w="43" w:type="dxa"/>
              <w:bottom w:w="43" w:type="dxa"/>
              <w:right w:w="43" w:type="dxa"/>
            </w:tcMar>
            <w:vAlign w:val="center"/>
          </w:tcPr>
          <w:p w14:paraId="313637C7" w14:textId="45DF69DD"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October 19 – October 25</w:t>
            </w:r>
          </w:p>
        </w:tc>
        <w:tc>
          <w:tcPr>
            <w:tcW w:w="3510" w:type="dxa"/>
            <w:shd w:val="clear" w:color="auto" w:fill="FFFFFF" w:themeFill="background1"/>
            <w:tcMar>
              <w:top w:w="43" w:type="dxa"/>
              <w:left w:w="43" w:type="dxa"/>
              <w:bottom w:w="43" w:type="dxa"/>
              <w:right w:w="43" w:type="dxa"/>
            </w:tcMar>
            <w:vAlign w:val="center"/>
          </w:tcPr>
          <w:p w14:paraId="08069407" w14:textId="6EE8DC75"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DC3003">
              <w:rPr>
                <w:rFonts w:eastAsiaTheme="minorHAnsi" w:cstheme="minorHAnsi"/>
                <w:bCs/>
                <w:sz w:val="20"/>
                <w:szCs w:val="20"/>
              </w:rPr>
              <w:t>Permanent Debt and Equity Financing</w:t>
            </w:r>
          </w:p>
        </w:tc>
        <w:tc>
          <w:tcPr>
            <w:tcW w:w="3960" w:type="dxa"/>
            <w:tcMar>
              <w:top w:w="43" w:type="dxa"/>
              <w:left w:w="43" w:type="dxa"/>
              <w:bottom w:w="43" w:type="dxa"/>
              <w:right w:w="43" w:type="dxa"/>
            </w:tcMar>
            <w:vAlign w:val="center"/>
          </w:tcPr>
          <w:p w14:paraId="364F5631" w14:textId="77777777" w:rsidR="00825264" w:rsidRDefault="00496DB6"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Midterm Exam</w:t>
            </w:r>
          </w:p>
          <w:p w14:paraId="7F6995FF" w14:textId="77E6844B" w:rsidR="00F93EE4" w:rsidRPr="009035C8" w:rsidRDefault="00F93EE4"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T</w:t>
            </w:r>
            <w:r w:rsidR="00A36B16">
              <w:rPr>
                <w:rFonts w:eastAsia="Times New Roman" w:cstheme="minorHAnsi"/>
                <w:color w:val="212529"/>
                <w:sz w:val="20"/>
                <w:szCs w:val="20"/>
                <w:lang w:eastAsia="en-CA"/>
              </w:rPr>
              <w:t>uesday, October 21</w:t>
            </w:r>
          </w:p>
        </w:tc>
      </w:tr>
      <w:tr w:rsidR="002A3182" w:rsidRPr="003618CA" w14:paraId="35DC3396" w14:textId="77777777" w:rsidTr="00145F46">
        <w:tc>
          <w:tcPr>
            <w:tcW w:w="2880" w:type="dxa"/>
            <w:shd w:val="clear" w:color="auto" w:fill="FFFFFF"/>
            <w:tcMar>
              <w:top w:w="43" w:type="dxa"/>
              <w:left w:w="43" w:type="dxa"/>
              <w:bottom w:w="43" w:type="dxa"/>
              <w:right w:w="43" w:type="dxa"/>
            </w:tcMar>
            <w:vAlign w:val="center"/>
          </w:tcPr>
          <w:p w14:paraId="40E32BB5" w14:textId="26ED1E2D"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18"/>
                <w:szCs w:val="18"/>
                <w:lang w:eastAsia="en-CA"/>
              </w:rPr>
              <w:t>October 26 – November 1</w:t>
            </w:r>
          </w:p>
        </w:tc>
        <w:tc>
          <w:tcPr>
            <w:tcW w:w="3510" w:type="dxa"/>
            <w:tcMar>
              <w:top w:w="43" w:type="dxa"/>
              <w:left w:w="43" w:type="dxa"/>
              <w:bottom w:w="43" w:type="dxa"/>
              <w:right w:w="43" w:type="dxa"/>
            </w:tcMar>
            <w:vAlign w:val="center"/>
          </w:tcPr>
          <w:p w14:paraId="6610A81A" w14:textId="5B3FABA8"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sidRPr="00DC3003">
              <w:rPr>
                <w:rFonts w:eastAsiaTheme="minorHAnsi" w:cstheme="minorHAnsi"/>
                <w:bCs/>
                <w:sz w:val="20"/>
                <w:szCs w:val="20"/>
              </w:rPr>
              <w:t>Permanent Debt and Equity Financing</w:t>
            </w:r>
          </w:p>
        </w:tc>
        <w:tc>
          <w:tcPr>
            <w:tcW w:w="3960" w:type="dxa"/>
            <w:tcMar>
              <w:top w:w="43" w:type="dxa"/>
              <w:left w:w="43" w:type="dxa"/>
              <w:bottom w:w="43" w:type="dxa"/>
              <w:right w:w="43" w:type="dxa"/>
            </w:tcMar>
            <w:vAlign w:val="center"/>
          </w:tcPr>
          <w:p w14:paraId="5551C956" w14:textId="77777777" w:rsidR="002A3182" w:rsidRDefault="0050026D"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Case 1 Due</w:t>
            </w:r>
          </w:p>
          <w:p w14:paraId="280DD61F" w14:textId="040372CB" w:rsidR="0050026D" w:rsidRPr="009035C8" w:rsidRDefault="0050026D"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Saturday, November 1</w:t>
            </w:r>
          </w:p>
        </w:tc>
      </w:tr>
      <w:tr w:rsidR="002A3182" w:rsidRPr="003618CA" w14:paraId="2E106CF5" w14:textId="77777777" w:rsidTr="00145F46">
        <w:tc>
          <w:tcPr>
            <w:tcW w:w="2880" w:type="dxa"/>
            <w:shd w:val="clear" w:color="auto" w:fill="FFFFFF"/>
            <w:tcMar>
              <w:top w:w="43" w:type="dxa"/>
              <w:left w:w="43" w:type="dxa"/>
              <w:bottom w:w="43" w:type="dxa"/>
              <w:right w:w="43" w:type="dxa"/>
            </w:tcMar>
            <w:vAlign w:val="center"/>
          </w:tcPr>
          <w:p w14:paraId="71AB647C"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Pr>
                <w:rFonts w:eastAsia="Times New Roman" w:cstheme="minorHAnsi"/>
                <w:color w:val="212529"/>
                <w:sz w:val="18"/>
                <w:szCs w:val="18"/>
                <w:lang w:eastAsia="en-CA"/>
              </w:rPr>
              <w:t>November 2 – November 8</w:t>
            </w:r>
          </w:p>
          <w:p w14:paraId="573AD578"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p>
          <w:p w14:paraId="5BB3D08A" w14:textId="071C3025" w:rsidR="002A3182" w:rsidRPr="00D03E17"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sidRPr="002F5AB3">
              <w:rPr>
                <w:rFonts w:eastAsia="Times New Roman" w:cstheme="minorHAnsi"/>
                <w:b/>
                <w:bCs/>
                <w:color w:val="212529"/>
                <w:sz w:val="18"/>
                <w:szCs w:val="18"/>
                <w:lang w:eastAsia="en-CA"/>
              </w:rPr>
              <w:t>Friday is mid-term break.</w:t>
            </w:r>
          </w:p>
        </w:tc>
        <w:tc>
          <w:tcPr>
            <w:tcW w:w="3510" w:type="dxa"/>
            <w:tcMar>
              <w:top w:w="43" w:type="dxa"/>
              <w:left w:w="43" w:type="dxa"/>
              <w:bottom w:w="43" w:type="dxa"/>
              <w:right w:w="43" w:type="dxa"/>
            </w:tcMar>
            <w:vAlign w:val="center"/>
          </w:tcPr>
          <w:p w14:paraId="1C54302D" w14:textId="4E002454"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Capital Budgeting</w:t>
            </w:r>
          </w:p>
        </w:tc>
        <w:tc>
          <w:tcPr>
            <w:tcW w:w="3960" w:type="dxa"/>
            <w:tcMar>
              <w:top w:w="43" w:type="dxa"/>
              <w:left w:w="43" w:type="dxa"/>
              <w:bottom w:w="43" w:type="dxa"/>
              <w:right w:w="43" w:type="dxa"/>
            </w:tcMar>
            <w:vAlign w:val="center"/>
          </w:tcPr>
          <w:p w14:paraId="71342487" w14:textId="77777777" w:rsidR="002A3182" w:rsidRDefault="00145F46"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6 – Permanent Debt and Equity Financing</w:t>
            </w:r>
          </w:p>
          <w:p w14:paraId="0C2CCF11" w14:textId="6178EE35" w:rsidR="00EA2D9E" w:rsidRPr="009035C8" w:rsidRDefault="00EA2D9E"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 xml:space="preserve">Friday, November </w:t>
            </w:r>
            <w:r w:rsidR="001B7E34">
              <w:rPr>
                <w:rFonts w:eastAsia="Times New Roman" w:cstheme="minorHAnsi"/>
                <w:color w:val="212529"/>
                <w:sz w:val="20"/>
                <w:szCs w:val="20"/>
                <w:lang w:eastAsia="en-CA"/>
              </w:rPr>
              <w:t>7</w:t>
            </w:r>
          </w:p>
        </w:tc>
      </w:tr>
      <w:tr w:rsidR="002A3182" w:rsidRPr="003618CA" w14:paraId="328329FF" w14:textId="77777777" w:rsidTr="00145F46">
        <w:tc>
          <w:tcPr>
            <w:tcW w:w="2880" w:type="dxa"/>
            <w:shd w:val="clear" w:color="auto" w:fill="FFFFFF"/>
            <w:tcMar>
              <w:top w:w="43" w:type="dxa"/>
              <w:left w:w="43" w:type="dxa"/>
              <w:bottom w:w="43" w:type="dxa"/>
              <w:right w:w="43" w:type="dxa"/>
            </w:tcMar>
            <w:vAlign w:val="center"/>
          </w:tcPr>
          <w:p w14:paraId="5F6F9CDC"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9 – November 15</w:t>
            </w:r>
          </w:p>
          <w:p w14:paraId="57E17E36"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p>
          <w:p w14:paraId="4730CC2B" w14:textId="00B3B2BD" w:rsidR="002A3182" w:rsidRPr="00D03E17"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18"/>
                <w:szCs w:val="18"/>
                <w:lang w:eastAsia="en-CA"/>
              </w:rPr>
            </w:pPr>
            <w:r w:rsidRPr="00FF1514">
              <w:rPr>
                <w:rFonts w:eastAsia="Times New Roman" w:cstheme="minorHAnsi"/>
                <w:b/>
                <w:bCs/>
                <w:color w:val="212529"/>
                <w:sz w:val="20"/>
                <w:szCs w:val="20"/>
                <w:lang w:eastAsia="en-CA"/>
              </w:rPr>
              <w:t>Monday is mid-term break.</w:t>
            </w:r>
          </w:p>
        </w:tc>
        <w:tc>
          <w:tcPr>
            <w:tcW w:w="3510" w:type="dxa"/>
            <w:tcMar>
              <w:top w:w="43" w:type="dxa"/>
              <w:left w:w="43" w:type="dxa"/>
              <w:bottom w:w="43" w:type="dxa"/>
              <w:right w:w="43" w:type="dxa"/>
            </w:tcMar>
            <w:vAlign w:val="center"/>
          </w:tcPr>
          <w:p w14:paraId="36156D4E" w14:textId="67D44E0E"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Capital Budgeting</w:t>
            </w:r>
          </w:p>
        </w:tc>
        <w:tc>
          <w:tcPr>
            <w:tcW w:w="3960" w:type="dxa"/>
            <w:tcMar>
              <w:top w:w="43" w:type="dxa"/>
              <w:left w:w="43" w:type="dxa"/>
              <w:bottom w:w="43" w:type="dxa"/>
              <w:right w:w="43" w:type="dxa"/>
            </w:tcMar>
            <w:vAlign w:val="center"/>
          </w:tcPr>
          <w:p w14:paraId="6F0F2173" w14:textId="721EED7E" w:rsidR="002A3182" w:rsidRPr="009035C8" w:rsidRDefault="001B7E34"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None</w:t>
            </w:r>
          </w:p>
        </w:tc>
      </w:tr>
      <w:tr w:rsidR="002A3182" w:rsidRPr="003618CA" w14:paraId="401331EA" w14:textId="77777777" w:rsidTr="00145F46">
        <w:tc>
          <w:tcPr>
            <w:tcW w:w="2880" w:type="dxa"/>
            <w:shd w:val="clear" w:color="auto" w:fill="FFFFFF"/>
            <w:tcMar>
              <w:top w:w="43" w:type="dxa"/>
              <w:left w:w="43" w:type="dxa"/>
              <w:bottom w:w="43" w:type="dxa"/>
              <w:right w:w="43" w:type="dxa"/>
            </w:tcMar>
            <w:vAlign w:val="center"/>
          </w:tcPr>
          <w:p w14:paraId="2D990913" w14:textId="08DCBD54"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lastRenderedPageBreak/>
              <w:t>November 16 – November 22</w:t>
            </w:r>
          </w:p>
        </w:tc>
        <w:tc>
          <w:tcPr>
            <w:tcW w:w="3510" w:type="dxa"/>
            <w:shd w:val="clear" w:color="auto" w:fill="FFFFFF" w:themeFill="background1"/>
            <w:tcMar>
              <w:top w:w="43" w:type="dxa"/>
              <w:left w:w="43" w:type="dxa"/>
              <w:bottom w:w="43" w:type="dxa"/>
              <w:right w:w="43" w:type="dxa"/>
            </w:tcMar>
            <w:vAlign w:val="center"/>
          </w:tcPr>
          <w:p w14:paraId="4A3C18B1"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03F4C793"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cstheme="minorHAnsi"/>
                <w:spacing w:val="-2"/>
                <w:sz w:val="20"/>
                <w:szCs w:val="20"/>
                <w:lang w:val="en-GB"/>
              </w:rPr>
              <w:t>Optimal Capital Structure</w:t>
            </w:r>
          </w:p>
          <w:p w14:paraId="62FDDA5E" w14:textId="1CC0E80B"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tc>
        <w:tc>
          <w:tcPr>
            <w:tcW w:w="3960" w:type="dxa"/>
            <w:shd w:val="clear" w:color="auto" w:fill="FFFFFF" w:themeFill="background1"/>
            <w:tcMar>
              <w:top w:w="43" w:type="dxa"/>
              <w:left w:w="43" w:type="dxa"/>
              <w:bottom w:w="43" w:type="dxa"/>
              <w:right w:w="43" w:type="dxa"/>
            </w:tcMar>
            <w:vAlign w:val="center"/>
          </w:tcPr>
          <w:p w14:paraId="70016215"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7 – Capital Budgeting</w:t>
            </w:r>
          </w:p>
          <w:p w14:paraId="3FAF3864" w14:textId="06360522" w:rsidR="001B7E34" w:rsidRPr="009035C8" w:rsidRDefault="001B7E34"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21</w:t>
            </w:r>
          </w:p>
        </w:tc>
      </w:tr>
      <w:tr w:rsidR="002A3182" w:rsidRPr="003618CA" w14:paraId="23EC9EC3" w14:textId="77777777" w:rsidTr="00145F46">
        <w:trPr>
          <w:trHeight w:val="658"/>
        </w:trPr>
        <w:tc>
          <w:tcPr>
            <w:tcW w:w="2880" w:type="dxa"/>
            <w:shd w:val="clear" w:color="auto" w:fill="FFFFFF"/>
            <w:tcMar>
              <w:top w:w="43" w:type="dxa"/>
              <w:left w:w="43" w:type="dxa"/>
              <w:bottom w:w="43" w:type="dxa"/>
              <w:right w:w="43" w:type="dxa"/>
            </w:tcMar>
            <w:vAlign w:val="center"/>
          </w:tcPr>
          <w:p w14:paraId="6CEEE0CB" w14:textId="1757E9A1"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23 – November 29</w:t>
            </w:r>
          </w:p>
        </w:tc>
        <w:tc>
          <w:tcPr>
            <w:tcW w:w="3510" w:type="dxa"/>
            <w:shd w:val="clear" w:color="auto" w:fill="FFFFFF" w:themeFill="background1"/>
            <w:tcMar>
              <w:top w:w="43" w:type="dxa"/>
              <w:left w:w="43" w:type="dxa"/>
              <w:bottom w:w="43" w:type="dxa"/>
              <w:right w:w="43" w:type="dxa"/>
            </w:tcMar>
            <w:vAlign w:val="center"/>
          </w:tcPr>
          <w:p w14:paraId="2A1C3964" w14:textId="17D26A80"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r>
              <w:rPr>
                <w:rFonts w:eastAsia="Times New Roman" w:cstheme="minorHAnsi"/>
                <w:color w:val="212529"/>
                <w:sz w:val="20"/>
                <w:szCs w:val="20"/>
                <w:lang w:eastAsia="en-CA"/>
              </w:rPr>
              <w:t>Optimal Capital Structure</w:t>
            </w:r>
          </w:p>
          <w:p w14:paraId="022A4CCC"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pacing w:val="-2"/>
                <w:sz w:val="20"/>
                <w:szCs w:val="20"/>
                <w:lang w:val="en-GB"/>
              </w:rPr>
            </w:pPr>
          </w:p>
          <w:p w14:paraId="2332BEB0" w14:textId="647BF31B"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cstheme="minorHAnsi"/>
                <w:spacing w:val="-2"/>
                <w:sz w:val="20"/>
                <w:szCs w:val="20"/>
                <w:lang w:val="en-GB"/>
              </w:rPr>
              <w:t>Corporate Governance and Executive Compensation</w:t>
            </w:r>
          </w:p>
        </w:tc>
        <w:tc>
          <w:tcPr>
            <w:tcW w:w="3960" w:type="dxa"/>
            <w:shd w:val="clear" w:color="auto" w:fill="FFFFFF" w:themeFill="background1"/>
            <w:tcMar>
              <w:top w:w="43" w:type="dxa"/>
              <w:left w:w="43" w:type="dxa"/>
              <w:bottom w:w="43" w:type="dxa"/>
              <w:right w:w="43" w:type="dxa"/>
            </w:tcMar>
            <w:vAlign w:val="center"/>
          </w:tcPr>
          <w:p w14:paraId="325F3631"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8 – Optimal Capital Structure</w:t>
            </w:r>
          </w:p>
          <w:p w14:paraId="0F342178" w14:textId="1A47B6D3" w:rsidR="001B7E34" w:rsidRDefault="001B7E34"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28</w:t>
            </w:r>
          </w:p>
          <w:p w14:paraId="119A412D" w14:textId="77777777" w:rsidR="00E96C4B" w:rsidRDefault="00E96C4B"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p>
          <w:p w14:paraId="177851A1" w14:textId="77777777" w:rsidR="00E96C4B" w:rsidRDefault="00E96C4B"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Case 2 Due</w:t>
            </w:r>
          </w:p>
          <w:p w14:paraId="6CCA31FD" w14:textId="3DFF8CBE" w:rsidR="00E96C4B" w:rsidRPr="009035C8" w:rsidRDefault="00E96C4B"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Saturday, No</w:t>
            </w:r>
            <w:r w:rsidR="00233532">
              <w:rPr>
                <w:rFonts w:eastAsia="Times New Roman" w:cstheme="minorHAnsi"/>
                <w:color w:val="212529"/>
                <w:sz w:val="20"/>
                <w:szCs w:val="20"/>
                <w:lang w:eastAsia="en-CA"/>
              </w:rPr>
              <w:t>vember 29</w:t>
            </w:r>
          </w:p>
        </w:tc>
      </w:tr>
      <w:tr w:rsidR="002A3182" w:rsidRPr="003618CA" w14:paraId="7229ABE2" w14:textId="77777777" w:rsidTr="00145F46">
        <w:trPr>
          <w:trHeight w:val="658"/>
        </w:trPr>
        <w:tc>
          <w:tcPr>
            <w:tcW w:w="2880" w:type="dxa"/>
            <w:shd w:val="clear" w:color="auto" w:fill="FFFFFF"/>
            <w:tcMar>
              <w:top w:w="43" w:type="dxa"/>
              <w:left w:w="43" w:type="dxa"/>
              <w:bottom w:w="43" w:type="dxa"/>
              <w:right w:w="43" w:type="dxa"/>
            </w:tcMar>
            <w:vAlign w:val="center"/>
          </w:tcPr>
          <w:p w14:paraId="76EA666C" w14:textId="22AA879D" w:rsidR="002A3182" w:rsidRPr="009035C8"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0" w:hanging="240"/>
              <w:rPr>
                <w:rFonts w:eastAsia="Times New Roman" w:cstheme="minorHAnsi"/>
                <w:color w:val="212529"/>
                <w:sz w:val="20"/>
                <w:szCs w:val="20"/>
                <w:lang w:eastAsia="en-CA"/>
              </w:rPr>
            </w:pPr>
            <w:r>
              <w:rPr>
                <w:rFonts w:eastAsia="Times New Roman" w:cstheme="minorHAnsi"/>
                <w:color w:val="212529"/>
                <w:sz w:val="20"/>
                <w:szCs w:val="20"/>
                <w:lang w:eastAsia="en-CA"/>
              </w:rPr>
              <w:t>November 30 – December 6</w:t>
            </w:r>
          </w:p>
        </w:tc>
        <w:tc>
          <w:tcPr>
            <w:tcW w:w="3510" w:type="dxa"/>
            <w:shd w:val="clear" w:color="auto" w:fill="FFFFFF" w:themeFill="background1"/>
            <w:tcMar>
              <w:top w:w="43" w:type="dxa"/>
              <w:left w:w="43" w:type="dxa"/>
              <w:bottom w:w="43" w:type="dxa"/>
              <w:right w:w="43" w:type="dxa"/>
            </w:tcMar>
            <w:vAlign w:val="center"/>
          </w:tcPr>
          <w:p w14:paraId="1968326D" w14:textId="1FC54538"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Corporate Governance and Executive Compensation</w:t>
            </w:r>
          </w:p>
        </w:tc>
        <w:tc>
          <w:tcPr>
            <w:tcW w:w="3960" w:type="dxa"/>
            <w:shd w:val="clear" w:color="auto" w:fill="FFFFFF" w:themeFill="background1"/>
            <w:tcMar>
              <w:top w:w="43" w:type="dxa"/>
              <w:left w:w="43" w:type="dxa"/>
              <w:bottom w:w="43" w:type="dxa"/>
              <w:right w:w="43" w:type="dxa"/>
            </w:tcMar>
            <w:vAlign w:val="center"/>
          </w:tcPr>
          <w:p w14:paraId="2E85191F" w14:textId="77777777" w:rsidR="002A3182" w:rsidRDefault="002A3182"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Quiz 9 – CGEC</w:t>
            </w:r>
          </w:p>
          <w:p w14:paraId="4D63365F" w14:textId="2AF4DE3C" w:rsidR="00E80F85" w:rsidRDefault="00E80F85" w:rsidP="002A3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529"/>
                <w:sz w:val="20"/>
                <w:szCs w:val="20"/>
                <w:lang w:eastAsia="en-CA"/>
              </w:rPr>
            </w:pPr>
            <w:r>
              <w:rPr>
                <w:rFonts w:eastAsia="Times New Roman" w:cstheme="minorHAnsi"/>
                <w:color w:val="212529"/>
                <w:sz w:val="20"/>
                <w:szCs w:val="20"/>
                <w:lang w:eastAsia="en-CA"/>
              </w:rPr>
              <w:t>Friday, November 5</w:t>
            </w:r>
          </w:p>
        </w:tc>
      </w:tr>
      <w:bookmarkEnd w:id="0"/>
    </w:tbl>
    <w:p w14:paraId="14649A42" w14:textId="77777777" w:rsidR="00EC6E89" w:rsidRPr="00F73F2A" w:rsidRDefault="00EC6E89" w:rsidP="00EC6E89">
      <w:pPr>
        <w:keepLines/>
        <w:spacing w:after="0" w:line="240" w:lineRule="auto"/>
        <w:rPr>
          <w:rFonts w:eastAsia="Times New Roman" w:cs="Times New Roman"/>
          <w:b/>
          <w:sz w:val="16"/>
          <w:szCs w:val="16"/>
        </w:rPr>
      </w:pPr>
    </w:p>
    <w:p w14:paraId="2A91172B" w14:textId="09E795A5" w:rsidR="006C104D" w:rsidRDefault="007F1BEB" w:rsidP="00EC6E89">
      <w:pPr>
        <w:keepLines/>
        <w:spacing w:after="0" w:line="240" w:lineRule="auto"/>
        <w:rPr>
          <w:rFonts w:eastAsia="Times New Roman" w:cs="Times New Roman"/>
          <w:b/>
          <w:sz w:val="28"/>
          <w:szCs w:val="28"/>
        </w:rPr>
      </w:pPr>
      <w:bookmarkStart w:id="1" w:name="_Hlk77157035"/>
      <w:r w:rsidRPr="003B4D4A">
        <w:rPr>
          <w:rFonts w:eastAsia="Times New Roman" w:cs="Times New Roman"/>
          <w:b/>
          <w:sz w:val="28"/>
          <w:szCs w:val="28"/>
        </w:rPr>
        <w:t xml:space="preserve">Honour Code </w:t>
      </w:r>
    </w:p>
    <w:p w14:paraId="1B32A68A" w14:textId="77777777" w:rsidR="00950DBE" w:rsidRPr="00F73F2A" w:rsidRDefault="00950DBE" w:rsidP="00EC6E89">
      <w:pPr>
        <w:keepLines/>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6C104D" w14:paraId="560891E6" w14:textId="77777777" w:rsidTr="00F73A57">
        <w:tc>
          <w:tcPr>
            <w:tcW w:w="10214"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12BAE6A" w14:textId="77777777" w:rsidR="006C104D" w:rsidRPr="006C104D" w:rsidRDefault="006C104D" w:rsidP="005737EB">
            <w:pPr>
              <w:keepLines/>
              <w:rPr>
                <w:rFonts w:asciiTheme="minorHAnsi" w:hAnsiTheme="minorHAnsi"/>
                <w:b w:val="0"/>
                <w:sz w:val="24"/>
                <w:szCs w:val="24"/>
                <w:u w:val="none"/>
              </w:rPr>
            </w:pPr>
            <w:r w:rsidRPr="006C104D">
              <w:rPr>
                <w:rFonts w:asciiTheme="minorHAnsi" w:hAnsiTheme="minorHAnsi"/>
                <w:b w:val="0"/>
                <w:sz w:val="24"/>
                <w:szCs w:val="24"/>
                <w:u w:val="none"/>
              </w:rPr>
              <w:t>SOBE’s honour code states:</w:t>
            </w:r>
          </w:p>
          <w:p w14:paraId="03CEC76B" w14:textId="77777777" w:rsidR="006C104D" w:rsidRPr="00EC6E89" w:rsidRDefault="006C104D" w:rsidP="005737EB">
            <w:pPr>
              <w:keepLines/>
              <w:rPr>
                <w:rFonts w:asciiTheme="minorHAnsi" w:hAnsiTheme="minorHAnsi"/>
                <w:u w:val="none"/>
              </w:rPr>
            </w:pPr>
          </w:p>
          <w:p w14:paraId="2EC4FC1C" w14:textId="7C4BB934" w:rsidR="001C210B" w:rsidRPr="00ED13C3" w:rsidRDefault="006C104D" w:rsidP="00ED13C3">
            <w:pPr>
              <w:keepLines/>
              <w:ind w:left="432" w:right="432"/>
              <w:rPr>
                <w:rFonts w:asciiTheme="minorHAnsi" w:hAnsiTheme="minorHAnsi"/>
                <w:b w:val="0"/>
                <w:sz w:val="24"/>
                <w:szCs w:val="24"/>
                <w:u w:val="none"/>
              </w:rPr>
            </w:pPr>
            <w:r w:rsidRPr="006C104D">
              <w:rPr>
                <w:rFonts w:asciiTheme="minorHAnsi" w:hAnsiTheme="minorHAnsi"/>
                <w:b w:val="0"/>
                <w:sz w:val="24"/>
                <w:szCs w:val="24"/>
                <w:u w:val="none"/>
              </w:rPr>
              <w:t xml:space="preserve">As a </w:t>
            </w:r>
            <w:r w:rsidR="00795200">
              <w:rPr>
                <w:rFonts w:asciiTheme="minorHAnsi" w:hAnsiTheme="minorHAnsi"/>
                <w:b w:val="0"/>
                <w:sz w:val="24"/>
                <w:szCs w:val="24"/>
                <w:u w:val="none"/>
              </w:rPr>
              <w:t xml:space="preserve">School of Business and Economics student </w:t>
            </w:r>
            <w:r w:rsidRPr="006C104D">
              <w:rPr>
                <w:rFonts w:asciiTheme="minorHAnsi" w:hAnsiTheme="minorHAnsi"/>
                <w:b w:val="0"/>
                <w:sz w:val="24"/>
                <w:szCs w:val="24"/>
                <w:u w:val="none"/>
              </w:rPr>
              <w:t>at Thompson Rivers University, I promise to act honestly, ethically</w:t>
            </w:r>
            <w:r w:rsidR="00BC4937">
              <w:rPr>
                <w:rFonts w:asciiTheme="minorHAnsi" w:hAnsiTheme="minorHAnsi"/>
                <w:b w:val="0"/>
                <w:sz w:val="24"/>
                <w:szCs w:val="24"/>
                <w:u w:val="none"/>
              </w:rPr>
              <w:t xml:space="preserve">, </w:t>
            </w:r>
            <w:r w:rsidRPr="006C104D">
              <w:rPr>
                <w:rFonts w:asciiTheme="minorHAnsi" w:hAnsiTheme="minorHAnsi"/>
                <w:b w:val="0"/>
                <w:sz w:val="24"/>
                <w:szCs w:val="24"/>
                <w:u w:val="none"/>
              </w:rPr>
              <w:t>and with integrity. I accept responsibility for my actions. I will not cheat, plagiarize, or condone such behaviour in others.</w:t>
            </w:r>
          </w:p>
        </w:tc>
      </w:tr>
    </w:tbl>
    <w:p w14:paraId="21D2094C" w14:textId="77777777" w:rsidR="006C104D" w:rsidRPr="00F73F2A" w:rsidRDefault="006C104D" w:rsidP="007F1BEB">
      <w:pPr>
        <w:keepLines/>
        <w:spacing w:after="0" w:line="240" w:lineRule="auto"/>
        <w:rPr>
          <w:rFonts w:eastAsia="Times New Roman" w:cs="Times New Roman"/>
          <w:b/>
          <w:sz w:val="16"/>
          <w:szCs w:val="16"/>
        </w:rPr>
      </w:pPr>
    </w:p>
    <w:p w14:paraId="5FE77A33" w14:textId="3CBBE44D" w:rsidR="00950DBE" w:rsidRDefault="007F1BEB" w:rsidP="007F1BEB">
      <w:pPr>
        <w:keepLines/>
        <w:spacing w:after="0" w:line="240" w:lineRule="auto"/>
        <w:rPr>
          <w:rFonts w:eastAsia="Times New Roman" w:cs="Times New Roman"/>
          <w:b/>
          <w:sz w:val="28"/>
          <w:szCs w:val="28"/>
        </w:rPr>
      </w:pPr>
      <w:r w:rsidRPr="003B4D4A">
        <w:rPr>
          <w:rFonts w:eastAsia="Times New Roman" w:cs="Times New Roman"/>
          <w:b/>
          <w:sz w:val="28"/>
          <w:szCs w:val="28"/>
        </w:rPr>
        <w:t>Academic Integrity</w:t>
      </w:r>
    </w:p>
    <w:p w14:paraId="0F3244C7" w14:textId="77777777" w:rsidR="00A5438F" w:rsidRPr="00F73F2A" w:rsidRDefault="00A5438F" w:rsidP="007F1BEB">
      <w:pPr>
        <w:keepLines/>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7F1BEB" w:rsidRPr="003B4D4A" w14:paraId="37503272" w14:textId="77777777" w:rsidTr="007A7D0E">
        <w:trPr>
          <w:trHeight w:val="235"/>
        </w:trPr>
        <w:tc>
          <w:tcPr>
            <w:tcW w:w="10214" w:type="dxa"/>
            <w:tcMar>
              <w:top w:w="115" w:type="dxa"/>
              <w:left w:w="115" w:type="dxa"/>
              <w:bottom w:w="115" w:type="dxa"/>
              <w:right w:w="115" w:type="dxa"/>
            </w:tcMar>
          </w:tcPr>
          <w:p w14:paraId="4E47E605" w14:textId="28A76086" w:rsidR="001C210B" w:rsidRPr="00297631" w:rsidRDefault="007F1BEB" w:rsidP="00B5469E">
            <w:pPr>
              <w:widowControl w:val="0"/>
              <w:rPr>
                <w:rFonts w:asciiTheme="minorHAnsi" w:eastAsia="Times New Roman" w:hAnsiTheme="minorHAnsi" w:cs="Times New Roman"/>
                <w:b w:val="0"/>
                <w:sz w:val="24"/>
                <w:szCs w:val="24"/>
                <w:u w:val="none"/>
              </w:rPr>
            </w:pPr>
            <w:r>
              <w:rPr>
                <w:rFonts w:asciiTheme="minorHAnsi" w:eastAsia="Times New Roman" w:hAnsiTheme="minorHAnsi" w:cs="Times New Roman"/>
                <w:b w:val="0"/>
                <w:sz w:val="24"/>
                <w:szCs w:val="24"/>
                <w:u w:val="none"/>
              </w:rPr>
              <w:t xml:space="preserve">TRU Policy </w:t>
            </w:r>
            <w:r w:rsidRPr="005835DF">
              <w:rPr>
                <w:rFonts w:asciiTheme="minorHAnsi" w:eastAsia="Times New Roman" w:hAnsiTheme="minorHAnsi" w:cs="Times New Roman"/>
                <w:sz w:val="24"/>
                <w:szCs w:val="24"/>
                <w:u w:val="none"/>
              </w:rPr>
              <w:t>ED 5-0 Academic Integrity</w:t>
            </w:r>
            <w:r>
              <w:rPr>
                <w:rFonts w:asciiTheme="minorHAnsi" w:eastAsia="Times New Roman" w:hAnsiTheme="minorHAnsi" w:cs="Times New Roman"/>
                <w:b w:val="0"/>
                <w:sz w:val="24"/>
                <w:szCs w:val="24"/>
                <w:u w:val="none"/>
              </w:rPr>
              <w:t xml:space="preserve"> outlines the </w:t>
            </w:r>
            <w:r w:rsidR="006C104D">
              <w:rPr>
                <w:rFonts w:asciiTheme="minorHAnsi" w:eastAsia="Times New Roman" w:hAnsiTheme="minorHAnsi" w:cs="Times New Roman"/>
                <w:b w:val="0"/>
                <w:sz w:val="24"/>
                <w:szCs w:val="24"/>
                <w:u w:val="none"/>
              </w:rPr>
              <w:t xml:space="preserve">different </w:t>
            </w:r>
            <w:r>
              <w:rPr>
                <w:rFonts w:asciiTheme="minorHAnsi" w:eastAsia="Times New Roman" w:hAnsiTheme="minorHAnsi" w:cs="Times New Roman"/>
                <w:b w:val="0"/>
                <w:sz w:val="24"/>
                <w:szCs w:val="24"/>
                <w:u w:val="none"/>
              </w:rPr>
              <w:t xml:space="preserve">types of infractions and the enforcement mechanisms </w:t>
            </w:r>
            <w:r w:rsidR="00795200">
              <w:rPr>
                <w:rFonts w:asciiTheme="minorHAnsi" w:eastAsia="Times New Roman" w:hAnsiTheme="minorHAnsi" w:cs="Times New Roman"/>
                <w:b w:val="0"/>
                <w:sz w:val="24"/>
                <w:szCs w:val="24"/>
                <w:u w:val="none"/>
              </w:rPr>
              <w:t xml:space="preserve">used </w:t>
            </w:r>
            <w:r w:rsidR="006C104D">
              <w:rPr>
                <w:rFonts w:asciiTheme="minorHAnsi" w:eastAsia="Times New Roman" w:hAnsiTheme="minorHAnsi" w:cs="Times New Roman"/>
                <w:b w:val="0"/>
                <w:sz w:val="24"/>
                <w:szCs w:val="24"/>
                <w:u w:val="none"/>
              </w:rPr>
              <w:t>by the university.  All students are encourage</w:t>
            </w:r>
            <w:r w:rsidR="000705D8">
              <w:rPr>
                <w:rFonts w:asciiTheme="minorHAnsi" w:eastAsia="Times New Roman" w:hAnsiTheme="minorHAnsi" w:cs="Times New Roman"/>
                <w:b w:val="0"/>
                <w:sz w:val="24"/>
                <w:szCs w:val="24"/>
                <w:u w:val="none"/>
              </w:rPr>
              <w:t>d</w:t>
            </w:r>
            <w:r w:rsidR="006C104D">
              <w:rPr>
                <w:rFonts w:asciiTheme="minorHAnsi" w:eastAsia="Times New Roman" w:hAnsiTheme="minorHAnsi" w:cs="Times New Roman"/>
                <w:b w:val="0"/>
                <w:sz w:val="24"/>
                <w:szCs w:val="24"/>
                <w:u w:val="none"/>
              </w:rPr>
              <w:t xml:space="preserve"> to familiarize themselves with </w:t>
            </w:r>
            <w:r w:rsidR="00950DBE">
              <w:rPr>
                <w:rFonts w:asciiTheme="minorHAnsi" w:eastAsia="Times New Roman" w:hAnsiTheme="minorHAnsi" w:cs="Times New Roman"/>
                <w:b w:val="0"/>
                <w:sz w:val="24"/>
                <w:szCs w:val="24"/>
                <w:u w:val="none"/>
              </w:rPr>
              <w:t>this policy to avo</w:t>
            </w:r>
            <w:r w:rsidR="00795200">
              <w:rPr>
                <w:rFonts w:asciiTheme="minorHAnsi" w:eastAsia="Times New Roman" w:hAnsiTheme="minorHAnsi" w:cs="Times New Roman"/>
                <w:b w:val="0"/>
                <w:sz w:val="24"/>
                <w:szCs w:val="24"/>
                <w:u w:val="none"/>
              </w:rPr>
              <w:t xml:space="preserve">id </w:t>
            </w:r>
            <w:r w:rsidR="006C104D">
              <w:rPr>
                <w:rFonts w:asciiTheme="minorHAnsi" w:eastAsia="Times New Roman" w:hAnsiTheme="minorHAnsi" w:cs="Times New Roman"/>
                <w:b w:val="0"/>
                <w:sz w:val="24"/>
                <w:szCs w:val="24"/>
                <w:u w:val="none"/>
              </w:rPr>
              <w:t>a violation.</w:t>
            </w:r>
          </w:p>
        </w:tc>
      </w:tr>
    </w:tbl>
    <w:p w14:paraId="03E6E8A2" w14:textId="77777777" w:rsidR="00B56072" w:rsidRPr="00F73F2A" w:rsidRDefault="00B56072" w:rsidP="00A5438F">
      <w:pPr>
        <w:spacing w:after="0" w:line="240" w:lineRule="auto"/>
        <w:rPr>
          <w:rFonts w:eastAsia="Times New Roman" w:cs="Times New Roman"/>
          <w:b/>
          <w:sz w:val="16"/>
          <w:szCs w:val="16"/>
        </w:rPr>
      </w:pPr>
    </w:p>
    <w:p w14:paraId="56FE4809" w14:textId="147E00EA" w:rsidR="00950DBE" w:rsidRDefault="007F1BEB" w:rsidP="00A5438F">
      <w:pPr>
        <w:spacing w:after="0" w:line="240" w:lineRule="auto"/>
        <w:rPr>
          <w:rFonts w:eastAsia="Times New Roman" w:cs="Times New Roman"/>
          <w:b/>
          <w:sz w:val="28"/>
          <w:szCs w:val="28"/>
        </w:rPr>
      </w:pPr>
      <w:r>
        <w:rPr>
          <w:rFonts w:eastAsia="Times New Roman" w:cs="Times New Roman"/>
          <w:b/>
          <w:sz w:val="28"/>
          <w:szCs w:val="28"/>
        </w:rPr>
        <w:t>Grading</w:t>
      </w:r>
    </w:p>
    <w:p w14:paraId="480DB724" w14:textId="77777777" w:rsidR="00A5438F" w:rsidRPr="00F73F2A" w:rsidRDefault="00A5438F" w:rsidP="00A5438F">
      <w:pPr>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517991" w14:paraId="4C46B342" w14:textId="77777777" w:rsidTr="007E6B34">
        <w:tc>
          <w:tcPr>
            <w:tcW w:w="10214" w:type="dxa"/>
            <w:tcMar>
              <w:top w:w="72" w:type="dxa"/>
              <w:left w:w="72" w:type="dxa"/>
              <w:bottom w:w="72" w:type="dxa"/>
              <w:right w:w="72" w:type="dxa"/>
            </w:tcMar>
          </w:tcPr>
          <w:p w14:paraId="31AA7D75" w14:textId="2FAB5181" w:rsidR="00517991" w:rsidRDefault="00517991" w:rsidP="00517991">
            <w:pPr>
              <w:rPr>
                <w:rFonts w:ascii="Calibri" w:hAnsi="Calibri"/>
                <w:b w:val="0"/>
                <w:sz w:val="24"/>
                <w:szCs w:val="24"/>
                <w:u w:val="none"/>
              </w:rPr>
            </w:pPr>
            <w:r w:rsidRPr="001416F4">
              <w:rPr>
                <w:rFonts w:asciiTheme="minorHAnsi" w:eastAsia="Times New Roman" w:hAnsiTheme="minorHAnsi" w:cs="Times New Roman"/>
                <w:b w:val="0"/>
                <w:sz w:val="24"/>
                <w:szCs w:val="24"/>
                <w:u w:val="none"/>
              </w:rPr>
              <w:t xml:space="preserve">TRU Policy </w:t>
            </w:r>
            <w:r w:rsidRPr="00307753">
              <w:rPr>
                <w:rFonts w:asciiTheme="minorHAnsi" w:eastAsia="Times New Roman" w:hAnsiTheme="minorHAnsi" w:cs="Times New Roman"/>
                <w:sz w:val="24"/>
                <w:szCs w:val="24"/>
                <w:u w:val="none"/>
              </w:rPr>
              <w:t>ED 3-5 Grading Systems</w:t>
            </w:r>
            <w:r w:rsidRPr="001416F4">
              <w:rPr>
                <w:rFonts w:asciiTheme="minorHAnsi" w:eastAsia="Times New Roman" w:hAnsiTheme="minorHAnsi" w:cs="Times New Roman"/>
                <w:b w:val="0"/>
                <w:sz w:val="24"/>
                <w:szCs w:val="24"/>
                <w:u w:val="none"/>
              </w:rPr>
              <w:t xml:space="preserve"> </w:t>
            </w:r>
            <w:r>
              <w:rPr>
                <w:rFonts w:asciiTheme="minorHAnsi" w:eastAsia="Times New Roman" w:hAnsiTheme="minorHAnsi" w:cs="Times New Roman"/>
                <w:b w:val="0"/>
                <w:sz w:val="24"/>
                <w:szCs w:val="24"/>
                <w:u w:val="none"/>
              </w:rPr>
              <w:t xml:space="preserve">describes the grading system to be followed in all courses at TRU to help ensure the comparability of grades across campus.  </w:t>
            </w:r>
            <w:r w:rsidRPr="00D120AE">
              <w:rPr>
                <w:rFonts w:ascii="Calibri" w:hAnsi="Calibri"/>
                <w:b w:val="0"/>
                <w:sz w:val="24"/>
                <w:szCs w:val="24"/>
                <w:u w:val="none"/>
              </w:rPr>
              <w:t xml:space="preserve">Letter grades do </w:t>
            </w:r>
            <w:r>
              <w:rPr>
                <w:rFonts w:ascii="Calibri" w:hAnsi="Calibri"/>
                <w:b w:val="0"/>
                <w:sz w:val="24"/>
                <w:szCs w:val="24"/>
                <w:u w:val="none"/>
              </w:rPr>
              <w:t xml:space="preserve">not become official until they are </w:t>
            </w:r>
            <w:r w:rsidRPr="00D120AE">
              <w:rPr>
                <w:rFonts w:ascii="Calibri" w:hAnsi="Calibri"/>
                <w:b w:val="0"/>
                <w:sz w:val="24"/>
                <w:szCs w:val="24"/>
                <w:u w:val="none"/>
              </w:rPr>
              <w:t>approved by the</w:t>
            </w:r>
            <w:r>
              <w:rPr>
                <w:rFonts w:ascii="Calibri" w:hAnsi="Calibri"/>
                <w:b w:val="0"/>
                <w:sz w:val="24"/>
                <w:szCs w:val="24"/>
                <w:u w:val="none"/>
              </w:rPr>
              <w:t xml:space="preserve"> Chairperson responsible for the course</w:t>
            </w:r>
            <w:r w:rsidR="005C79BB">
              <w:rPr>
                <w:rFonts w:ascii="Calibri" w:hAnsi="Calibri"/>
                <w:b w:val="0"/>
                <w:sz w:val="24"/>
                <w:szCs w:val="24"/>
                <w:u w:val="none"/>
              </w:rPr>
              <w:t>,</w:t>
            </w:r>
            <w:r w:rsidRPr="00D120AE">
              <w:rPr>
                <w:rFonts w:ascii="Calibri" w:hAnsi="Calibri"/>
                <w:b w:val="0"/>
                <w:sz w:val="24"/>
                <w:szCs w:val="24"/>
                <w:u w:val="none"/>
              </w:rPr>
              <w:t xml:space="preserve"> and they </w:t>
            </w:r>
            <w:r>
              <w:rPr>
                <w:rFonts w:ascii="Calibri" w:hAnsi="Calibri"/>
                <w:b w:val="0"/>
                <w:sz w:val="24"/>
                <w:szCs w:val="24"/>
                <w:u w:val="none"/>
              </w:rPr>
              <w:t xml:space="preserve">subsequently </w:t>
            </w:r>
            <w:r w:rsidRPr="00D120AE">
              <w:rPr>
                <w:rFonts w:ascii="Calibri" w:hAnsi="Calibri"/>
                <w:b w:val="0"/>
                <w:sz w:val="24"/>
                <w:szCs w:val="24"/>
                <w:u w:val="none"/>
              </w:rPr>
              <w:t xml:space="preserve">appear on the student’s transcript.  </w:t>
            </w:r>
            <w:r>
              <w:rPr>
                <w:rFonts w:asciiTheme="minorHAnsi" w:eastAsia="Times New Roman" w:hAnsiTheme="minorHAnsi" w:cs="Times New Roman"/>
                <w:b w:val="0"/>
                <w:sz w:val="24"/>
                <w:szCs w:val="24"/>
                <w:u w:val="none"/>
              </w:rPr>
              <w:t>For undergraduate c</w:t>
            </w:r>
            <w:r w:rsidR="005C79BB">
              <w:rPr>
                <w:rFonts w:asciiTheme="minorHAnsi" w:eastAsia="Times New Roman" w:hAnsiTheme="minorHAnsi" w:cs="Times New Roman"/>
                <w:b w:val="0"/>
                <w:sz w:val="24"/>
                <w:szCs w:val="24"/>
                <w:u w:val="none"/>
              </w:rPr>
              <w:t>lasses</w:t>
            </w:r>
            <w:r>
              <w:rPr>
                <w:rFonts w:asciiTheme="minorHAnsi" w:eastAsia="Times New Roman" w:hAnsiTheme="minorHAnsi" w:cs="Times New Roman"/>
                <w:b w:val="0"/>
                <w:sz w:val="24"/>
                <w:szCs w:val="24"/>
                <w:u w:val="none"/>
              </w:rPr>
              <w:t>, the letter grade system is:</w:t>
            </w:r>
          </w:p>
          <w:p w14:paraId="589DABA4" w14:textId="77777777" w:rsidR="00C33A70" w:rsidRPr="00CA5076" w:rsidRDefault="00C33A70" w:rsidP="00517991">
            <w:pPr>
              <w:rPr>
                <w:rFonts w:ascii="Calibri" w:hAnsi="Calibri"/>
                <w:b w:val="0"/>
                <w:sz w:val="24"/>
                <w:szCs w:val="24"/>
                <w:u w:val="none"/>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12"/>
              <w:gridCol w:w="1294"/>
              <w:gridCol w:w="4950"/>
            </w:tblGrid>
            <w:tr w:rsidR="00517991" w:rsidRPr="00D120AE" w14:paraId="0A7E3B98" w14:textId="77777777" w:rsidTr="007E4F70">
              <w:trPr>
                <w:trHeight w:val="648"/>
              </w:trPr>
              <w:tc>
                <w:tcPr>
                  <w:tcW w:w="1496" w:type="dxa"/>
                  <w:shd w:val="clear" w:color="auto" w:fill="auto"/>
                  <w:tcMar>
                    <w:top w:w="115" w:type="dxa"/>
                    <w:left w:w="115" w:type="dxa"/>
                    <w:bottom w:w="115" w:type="dxa"/>
                    <w:right w:w="115" w:type="dxa"/>
                  </w:tcMar>
                </w:tcPr>
                <w:p w14:paraId="189837D9"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Letter Grade</w:t>
                  </w:r>
                </w:p>
              </w:tc>
              <w:tc>
                <w:tcPr>
                  <w:tcW w:w="1412" w:type="dxa"/>
                  <w:shd w:val="clear" w:color="auto" w:fill="auto"/>
                </w:tcPr>
                <w:p w14:paraId="22A34DAF"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Numerical Grade</w:t>
                  </w:r>
                </w:p>
              </w:tc>
              <w:tc>
                <w:tcPr>
                  <w:tcW w:w="1294" w:type="dxa"/>
                  <w:shd w:val="clear" w:color="auto" w:fill="auto"/>
                </w:tcPr>
                <w:p w14:paraId="6DE801D9"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Grade Points</w:t>
                  </w:r>
                </w:p>
              </w:tc>
              <w:tc>
                <w:tcPr>
                  <w:tcW w:w="4950" w:type="dxa"/>
                  <w:shd w:val="clear" w:color="auto" w:fill="auto"/>
                  <w:tcMar>
                    <w:top w:w="115" w:type="dxa"/>
                    <w:left w:w="115" w:type="dxa"/>
                    <w:bottom w:w="115" w:type="dxa"/>
                    <w:right w:w="115" w:type="dxa"/>
                  </w:tcMar>
                </w:tcPr>
                <w:p w14:paraId="789BC269" w14:textId="77777777" w:rsidR="00517991" w:rsidRPr="00D120AE" w:rsidRDefault="00517991" w:rsidP="00517991">
                  <w:pPr>
                    <w:spacing w:after="0" w:line="240" w:lineRule="auto"/>
                    <w:jc w:val="center"/>
                    <w:rPr>
                      <w:rFonts w:ascii="Calibri" w:eastAsia="Times New Roman" w:hAnsi="Calibri" w:cs="Arial"/>
                      <w:b/>
                      <w:bCs/>
                      <w:sz w:val="28"/>
                      <w:szCs w:val="28"/>
                    </w:rPr>
                  </w:pPr>
                  <w:r w:rsidRPr="00D120AE">
                    <w:rPr>
                      <w:rFonts w:ascii="Calibri" w:eastAsia="Times New Roman" w:hAnsi="Calibri" w:cs="Arial"/>
                      <w:b/>
                      <w:bCs/>
                      <w:sz w:val="28"/>
                      <w:szCs w:val="28"/>
                    </w:rPr>
                    <w:t>Letter Grade Definitions</w:t>
                  </w:r>
                </w:p>
              </w:tc>
            </w:tr>
            <w:tr w:rsidR="00517991" w:rsidRPr="00D120AE" w14:paraId="40304EBD" w14:textId="77777777" w:rsidTr="007E4F70">
              <w:trPr>
                <w:trHeight w:val="789"/>
              </w:trPr>
              <w:tc>
                <w:tcPr>
                  <w:tcW w:w="1496" w:type="dxa"/>
                  <w:shd w:val="clear" w:color="auto" w:fill="auto"/>
                  <w:vAlign w:val="center"/>
                </w:tcPr>
                <w:p w14:paraId="27C0FD07"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A+</w:t>
                  </w:r>
                </w:p>
                <w:p w14:paraId="31B7C1F9"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A</w:t>
                  </w:r>
                </w:p>
                <w:p w14:paraId="71992B6C"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A-</w:t>
                  </w:r>
                </w:p>
              </w:tc>
              <w:tc>
                <w:tcPr>
                  <w:tcW w:w="1412" w:type="dxa"/>
                  <w:shd w:val="clear" w:color="auto" w:fill="auto"/>
                  <w:vAlign w:val="center"/>
                </w:tcPr>
                <w:p w14:paraId="1C23B065"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90-100</w:t>
                  </w:r>
                </w:p>
                <w:p w14:paraId="2032C45F"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85-89</w:t>
                  </w:r>
                </w:p>
                <w:p w14:paraId="56A43465"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80-84</w:t>
                  </w:r>
                </w:p>
              </w:tc>
              <w:tc>
                <w:tcPr>
                  <w:tcW w:w="1294" w:type="dxa"/>
                  <w:shd w:val="clear" w:color="auto" w:fill="auto"/>
                  <w:tcMar>
                    <w:top w:w="115" w:type="dxa"/>
                    <w:left w:w="115" w:type="dxa"/>
                    <w:bottom w:w="115" w:type="dxa"/>
                    <w:right w:w="115" w:type="dxa"/>
                  </w:tcMar>
                  <w:vAlign w:val="center"/>
                </w:tcPr>
                <w:p w14:paraId="747AF642"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4.33</w:t>
                  </w:r>
                </w:p>
                <w:p w14:paraId="2C462D9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4.00</w:t>
                  </w:r>
                </w:p>
                <w:p w14:paraId="1B4F33F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3.67</w:t>
                  </w:r>
                </w:p>
              </w:tc>
              <w:tc>
                <w:tcPr>
                  <w:tcW w:w="4950" w:type="dxa"/>
                  <w:shd w:val="clear" w:color="auto" w:fill="auto"/>
                </w:tcPr>
                <w:p w14:paraId="4888B90F" w14:textId="5A629269"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Excellent. Superior performance showing </w:t>
                  </w:r>
                  <w:r w:rsidR="00795200">
                    <w:rPr>
                      <w:rFonts w:ascii="Calibri" w:eastAsia="Times New Roman" w:hAnsi="Calibri" w:cs="Arial"/>
                      <w:bCs/>
                    </w:rPr>
                    <w:t xml:space="preserve">a </w:t>
                  </w:r>
                  <w:r w:rsidRPr="00D120AE">
                    <w:rPr>
                      <w:rFonts w:ascii="Calibri" w:eastAsia="Times New Roman" w:hAnsi="Calibri" w:cs="Arial"/>
                      <w:bCs/>
                    </w:rPr>
                    <w:t xml:space="preserve">comprehensive, in-depth understanding of </w:t>
                  </w:r>
                  <w:r w:rsidR="005C79BB">
                    <w:rPr>
                      <w:rFonts w:ascii="Calibri" w:eastAsia="Times New Roman" w:hAnsi="Calibri" w:cs="Arial"/>
                      <w:bCs/>
                    </w:rPr>
                    <w:t xml:space="preserve">the </w:t>
                  </w:r>
                  <w:r w:rsidRPr="00D120AE">
                    <w:rPr>
                      <w:rFonts w:ascii="Calibri" w:eastAsia="Times New Roman" w:hAnsi="Calibri" w:cs="Arial"/>
                      <w:bCs/>
                    </w:rPr>
                    <w:t>subject matter.  Demonstrates initiative and fluency of expression.</w:t>
                  </w:r>
                </w:p>
              </w:tc>
            </w:tr>
            <w:tr w:rsidR="00517991" w:rsidRPr="00D120AE" w14:paraId="76A74151" w14:textId="77777777" w:rsidTr="007E4F70">
              <w:trPr>
                <w:trHeight w:val="763"/>
              </w:trPr>
              <w:tc>
                <w:tcPr>
                  <w:tcW w:w="1496" w:type="dxa"/>
                  <w:shd w:val="clear" w:color="auto" w:fill="auto"/>
                  <w:vAlign w:val="center"/>
                </w:tcPr>
                <w:p w14:paraId="18497DC8"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B+</w:t>
                  </w:r>
                </w:p>
                <w:p w14:paraId="566B2251"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B</w:t>
                  </w:r>
                </w:p>
                <w:p w14:paraId="67107443"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B-</w:t>
                  </w:r>
                </w:p>
              </w:tc>
              <w:tc>
                <w:tcPr>
                  <w:tcW w:w="1412" w:type="dxa"/>
                  <w:shd w:val="clear" w:color="auto" w:fill="auto"/>
                  <w:vAlign w:val="center"/>
                </w:tcPr>
                <w:p w14:paraId="7D490B5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77-79</w:t>
                  </w:r>
                </w:p>
                <w:p w14:paraId="764458F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73-76</w:t>
                  </w:r>
                </w:p>
                <w:p w14:paraId="37154E66"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70-72</w:t>
                  </w:r>
                </w:p>
              </w:tc>
              <w:tc>
                <w:tcPr>
                  <w:tcW w:w="1294" w:type="dxa"/>
                  <w:shd w:val="clear" w:color="auto" w:fill="auto"/>
                  <w:vAlign w:val="center"/>
                </w:tcPr>
                <w:p w14:paraId="476D7D17"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3.33</w:t>
                  </w:r>
                </w:p>
                <w:p w14:paraId="4E64B39F"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3.00</w:t>
                  </w:r>
                </w:p>
                <w:p w14:paraId="084BB38E"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2.67</w:t>
                  </w:r>
                </w:p>
              </w:tc>
              <w:tc>
                <w:tcPr>
                  <w:tcW w:w="4950" w:type="dxa"/>
                  <w:shd w:val="clear" w:color="auto" w:fill="auto"/>
                </w:tcPr>
                <w:p w14:paraId="5B340B6D" w14:textId="0EF880FE"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Very Good.  Clearly above average performance with knowledge of principles and facts</w:t>
                  </w:r>
                  <w:r w:rsidR="005C79BB">
                    <w:rPr>
                      <w:rFonts w:ascii="Calibri" w:eastAsia="Times New Roman" w:hAnsi="Calibri" w:cs="Arial"/>
                      <w:bCs/>
                    </w:rPr>
                    <w:t>,</w:t>
                  </w:r>
                  <w:r w:rsidRPr="00D120AE">
                    <w:rPr>
                      <w:rFonts w:ascii="Calibri" w:eastAsia="Times New Roman" w:hAnsi="Calibri" w:cs="Arial"/>
                      <w:bCs/>
                    </w:rPr>
                    <w:t xml:space="preserve"> generally complete with no serious deficiencies.</w:t>
                  </w:r>
                </w:p>
              </w:tc>
            </w:tr>
            <w:tr w:rsidR="00517991" w:rsidRPr="00D120AE" w14:paraId="42E92E39" w14:textId="77777777" w:rsidTr="007E4F70">
              <w:trPr>
                <w:trHeight w:val="777"/>
              </w:trPr>
              <w:tc>
                <w:tcPr>
                  <w:tcW w:w="1496" w:type="dxa"/>
                  <w:shd w:val="clear" w:color="auto" w:fill="auto"/>
                  <w:vAlign w:val="center"/>
                </w:tcPr>
                <w:p w14:paraId="0981AFC6"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C+</w:t>
                  </w:r>
                </w:p>
                <w:p w14:paraId="4F40EF68"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C</w:t>
                  </w:r>
                </w:p>
              </w:tc>
              <w:tc>
                <w:tcPr>
                  <w:tcW w:w="1412" w:type="dxa"/>
                  <w:shd w:val="clear" w:color="auto" w:fill="auto"/>
                  <w:vAlign w:val="center"/>
                </w:tcPr>
                <w:p w14:paraId="092D56A1"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65-69</w:t>
                  </w:r>
                </w:p>
                <w:p w14:paraId="2B611CE8"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60-64</w:t>
                  </w:r>
                </w:p>
              </w:tc>
              <w:tc>
                <w:tcPr>
                  <w:tcW w:w="1294" w:type="dxa"/>
                  <w:shd w:val="clear" w:color="auto" w:fill="auto"/>
                  <w:vAlign w:val="center"/>
                </w:tcPr>
                <w:p w14:paraId="479EAF85"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2.33</w:t>
                  </w:r>
                </w:p>
                <w:p w14:paraId="2DC066D8"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2.00</w:t>
                  </w:r>
                </w:p>
              </w:tc>
              <w:tc>
                <w:tcPr>
                  <w:tcW w:w="4950" w:type="dxa"/>
                  <w:shd w:val="clear" w:color="auto" w:fill="auto"/>
                </w:tcPr>
                <w:p w14:paraId="49364B07" w14:textId="089C9781"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Satisfactory.  Basic understanding with knowledge of principles and facts</w:t>
                  </w:r>
                  <w:r w:rsidR="005C79BB">
                    <w:rPr>
                      <w:rFonts w:ascii="Calibri" w:eastAsia="Times New Roman" w:hAnsi="Calibri" w:cs="Arial"/>
                      <w:bCs/>
                    </w:rPr>
                    <w:t>,</w:t>
                  </w:r>
                  <w:r w:rsidRPr="00D120AE">
                    <w:rPr>
                      <w:rFonts w:ascii="Calibri" w:eastAsia="Times New Roman" w:hAnsi="Calibri" w:cs="Arial"/>
                      <w:bCs/>
                    </w:rPr>
                    <w:t xml:space="preserve"> at least adequate to communicate intelligently in the discipline.</w:t>
                  </w:r>
                </w:p>
              </w:tc>
            </w:tr>
            <w:tr w:rsidR="00517991" w:rsidRPr="00D120AE" w14:paraId="30665FB1" w14:textId="77777777" w:rsidTr="007E4F70">
              <w:trPr>
                <w:trHeight w:val="499"/>
              </w:trPr>
              <w:tc>
                <w:tcPr>
                  <w:tcW w:w="1496" w:type="dxa"/>
                  <w:shd w:val="clear" w:color="auto" w:fill="auto"/>
                  <w:vAlign w:val="center"/>
                </w:tcPr>
                <w:p w14:paraId="069F2304"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lastRenderedPageBreak/>
                    <w:t>C-</w:t>
                  </w:r>
                </w:p>
              </w:tc>
              <w:tc>
                <w:tcPr>
                  <w:tcW w:w="1412" w:type="dxa"/>
                  <w:shd w:val="clear" w:color="auto" w:fill="auto"/>
                  <w:vAlign w:val="center"/>
                </w:tcPr>
                <w:p w14:paraId="220F0FEB"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55-59</w:t>
                  </w:r>
                </w:p>
              </w:tc>
              <w:tc>
                <w:tcPr>
                  <w:tcW w:w="1294" w:type="dxa"/>
                  <w:shd w:val="clear" w:color="auto" w:fill="auto"/>
                  <w:vAlign w:val="center"/>
                </w:tcPr>
                <w:p w14:paraId="36E27E71"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1.67</w:t>
                  </w:r>
                </w:p>
              </w:tc>
              <w:tc>
                <w:tcPr>
                  <w:tcW w:w="4950" w:type="dxa"/>
                  <w:shd w:val="clear" w:color="auto" w:fill="auto"/>
                </w:tcPr>
                <w:p w14:paraId="2A198740" w14:textId="1AC783E0"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Pass. </w:t>
                  </w:r>
                  <w:r w:rsidR="00795200">
                    <w:rPr>
                      <w:rFonts w:ascii="Calibri" w:eastAsia="Times New Roman" w:hAnsi="Calibri" w:cs="Arial"/>
                      <w:bCs/>
                    </w:rPr>
                    <w:t xml:space="preserve"> </w:t>
                  </w:r>
                  <w:r w:rsidRPr="00D120AE">
                    <w:rPr>
                      <w:rFonts w:ascii="Calibri" w:eastAsia="Times New Roman" w:hAnsi="Calibri" w:cs="Arial"/>
                      <w:bCs/>
                    </w:rPr>
                    <w:t>Some understanding of principles and facts</w:t>
                  </w:r>
                  <w:r w:rsidR="005C79BB">
                    <w:rPr>
                      <w:rFonts w:ascii="Calibri" w:eastAsia="Times New Roman" w:hAnsi="Calibri" w:cs="Arial"/>
                      <w:bCs/>
                    </w:rPr>
                    <w:t>,</w:t>
                  </w:r>
                  <w:r w:rsidRPr="00D120AE">
                    <w:rPr>
                      <w:rFonts w:ascii="Calibri" w:eastAsia="Times New Roman" w:hAnsi="Calibri" w:cs="Arial"/>
                      <w:bCs/>
                    </w:rPr>
                    <w:t xml:space="preserve"> but with definite deficiencies.</w:t>
                  </w:r>
                </w:p>
              </w:tc>
            </w:tr>
            <w:tr w:rsidR="00517991" w:rsidRPr="00D120AE" w14:paraId="6E9AACC1" w14:textId="77777777" w:rsidTr="007E4F70">
              <w:trPr>
                <w:trHeight w:val="777"/>
              </w:trPr>
              <w:tc>
                <w:tcPr>
                  <w:tcW w:w="1496" w:type="dxa"/>
                  <w:shd w:val="clear" w:color="auto" w:fill="auto"/>
                  <w:vAlign w:val="center"/>
                </w:tcPr>
                <w:p w14:paraId="6271E10A"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D</w:t>
                  </w:r>
                </w:p>
              </w:tc>
              <w:tc>
                <w:tcPr>
                  <w:tcW w:w="1412" w:type="dxa"/>
                  <w:shd w:val="clear" w:color="auto" w:fill="auto"/>
                  <w:vAlign w:val="center"/>
                </w:tcPr>
                <w:p w14:paraId="45D3315F"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50-54</w:t>
                  </w:r>
                </w:p>
              </w:tc>
              <w:tc>
                <w:tcPr>
                  <w:tcW w:w="1294" w:type="dxa"/>
                  <w:shd w:val="clear" w:color="auto" w:fill="auto"/>
                  <w:vAlign w:val="center"/>
                </w:tcPr>
                <w:p w14:paraId="5219E333"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1.00</w:t>
                  </w:r>
                </w:p>
              </w:tc>
              <w:tc>
                <w:tcPr>
                  <w:tcW w:w="4950" w:type="dxa"/>
                  <w:shd w:val="clear" w:color="auto" w:fill="auto"/>
                </w:tcPr>
                <w:p w14:paraId="462E05A0" w14:textId="6A3BC9F3"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Minimal Pass.  A passing grade </w:t>
                  </w:r>
                  <w:r w:rsidR="005C79BB">
                    <w:rPr>
                      <w:rFonts w:ascii="Calibri" w:eastAsia="Times New Roman" w:hAnsi="Calibri" w:cs="Arial"/>
                      <w:bCs/>
                    </w:rPr>
                    <w:t>indicates</w:t>
                  </w:r>
                  <w:r w:rsidRPr="00D120AE">
                    <w:rPr>
                      <w:rFonts w:ascii="Calibri" w:eastAsia="Times New Roman" w:hAnsi="Calibri" w:cs="Arial"/>
                      <w:bCs/>
                    </w:rPr>
                    <w:t xml:space="preserve"> marginal performance.  </w:t>
                  </w:r>
                  <w:r w:rsidR="00FF15C8">
                    <w:rPr>
                      <w:rFonts w:ascii="Calibri" w:eastAsia="Times New Roman" w:hAnsi="Calibri" w:cs="Arial"/>
                      <w:bCs/>
                    </w:rPr>
                    <w:t>The student</w:t>
                  </w:r>
                  <w:r w:rsidRPr="00D120AE">
                    <w:rPr>
                      <w:rFonts w:ascii="Calibri" w:eastAsia="Times New Roman" w:hAnsi="Calibri" w:cs="Arial"/>
                      <w:bCs/>
                    </w:rPr>
                    <w:t xml:space="preserve"> </w:t>
                  </w:r>
                  <w:r w:rsidR="005C79BB">
                    <w:rPr>
                      <w:rFonts w:ascii="Calibri" w:eastAsia="Times New Roman" w:hAnsi="Calibri" w:cs="Arial"/>
                      <w:bCs/>
                    </w:rPr>
                    <w:t xml:space="preserve">is </w:t>
                  </w:r>
                  <w:r w:rsidRPr="00D120AE">
                    <w:rPr>
                      <w:rFonts w:ascii="Calibri" w:eastAsia="Times New Roman" w:hAnsi="Calibri" w:cs="Arial"/>
                      <w:bCs/>
                    </w:rPr>
                    <w:t>not likely to succeed in subsequent courses in the subject.</w:t>
                  </w:r>
                </w:p>
              </w:tc>
            </w:tr>
            <w:tr w:rsidR="00517991" w:rsidRPr="00D120AE" w14:paraId="1AB1E05A" w14:textId="77777777" w:rsidTr="007E4F70">
              <w:trPr>
                <w:trHeight w:val="499"/>
              </w:trPr>
              <w:tc>
                <w:tcPr>
                  <w:tcW w:w="1496" w:type="dxa"/>
                  <w:shd w:val="clear" w:color="auto" w:fill="auto"/>
                  <w:vAlign w:val="center"/>
                </w:tcPr>
                <w:p w14:paraId="3EE25BF4"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F</w:t>
                  </w:r>
                </w:p>
              </w:tc>
              <w:tc>
                <w:tcPr>
                  <w:tcW w:w="1412" w:type="dxa"/>
                  <w:shd w:val="clear" w:color="auto" w:fill="auto"/>
                  <w:vAlign w:val="center"/>
                </w:tcPr>
                <w:p w14:paraId="0CEE7297"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0-49</w:t>
                  </w:r>
                </w:p>
              </w:tc>
              <w:tc>
                <w:tcPr>
                  <w:tcW w:w="1294" w:type="dxa"/>
                  <w:shd w:val="clear" w:color="auto" w:fill="auto"/>
                  <w:vAlign w:val="center"/>
                </w:tcPr>
                <w:p w14:paraId="32AEC141"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0.00</w:t>
                  </w:r>
                </w:p>
              </w:tc>
              <w:tc>
                <w:tcPr>
                  <w:tcW w:w="4950" w:type="dxa"/>
                  <w:shd w:val="clear" w:color="auto" w:fill="auto"/>
                </w:tcPr>
                <w:p w14:paraId="7538AF81"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Unsatisfactory.  Fail.  Knowledge of principles and facts is fragmentary.</w:t>
                  </w:r>
                </w:p>
              </w:tc>
            </w:tr>
            <w:tr w:rsidR="00517991" w:rsidRPr="00D120AE" w14:paraId="25E55D62" w14:textId="77777777" w:rsidTr="007E4F70">
              <w:trPr>
                <w:trHeight w:val="1019"/>
              </w:trPr>
              <w:tc>
                <w:tcPr>
                  <w:tcW w:w="1496" w:type="dxa"/>
                  <w:shd w:val="clear" w:color="auto" w:fill="auto"/>
                  <w:vAlign w:val="center"/>
                </w:tcPr>
                <w:p w14:paraId="34F8932B" w14:textId="77777777"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DNC</w:t>
                  </w:r>
                </w:p>
              </w:tc>
              <w:tc>
                <w:tcPr>
                  <w:tcW w:w="1412" w:type="dxa"/>
                  <w:shd w:val="clear" w:color="auto" w:fill="auto"/>
                  <w:vAlign w:val="center"/>
                </w:tcPr>
                <w:p w14:paraId="3F32B47C" w14:textId="77777777" w:rsidR="00517991" w:rsidRPr="00D120AE" w:rsidRDefault="00517991" w:rsidP="00517991">
                  <w:pPr>
                    <w:spacing w:after="0" w:line="240" w:lineRule="auto"/>
                    <w:jc w:val="center"/>
                    <w:rPr>
                      <w:rFonts w:ascii="Calibri" w:eastAsia="Times New Roman" w:hAnsi="Calibri" w:cs="Arial"/>
                      <w:bCs/>
                    </w:rPr>
                  </w:pPr>
                </w:p>
              </w:tc>
              <w:tc>
                <w:tcPr>
                  <w:tcW w:w="1294" w:type="dxa"/>
                  <w:shd w:val="clear" w:color="auto" w:fill="auto"/>
                  <w:vAlign w:val="center"/>
                </w:tcPr>
                <w:p w14:paraId="1742C70D" w14:textId="77777777" w:rsidR="00517991" w:rsidRPr="00D120AE" w:rsidRDefault="00517991" w:rsidP="00517991">
                  <w:pPr>
                    <w:spacing w:after="0" w:line="240" w:lineRule="auto"/>
                    <w:jc w:val="center"/>
                    <w:rPr>
                      <w:rFonts w:ascii="Calibri" w:eastAsia="Times New Roman" w:hAnsi="Calibri" w:cs="Arial"/>
                      <w:bCs/>
                    </w:rPr>
                  </w:pPr>
                  <w:r w:rsidRPr="00D120AE">
                    <w:rPr>
                      <w:rFonts w:ascii="Calibri" w:eastAsia="Times New Roman" w:hAnsi="Calibri" w:cs="Arial"/>
                      <w:bCs/>
                    </w:rPr>
                    <w:t>0.00</w:t>
                  </w:r>
                </w:p>
              </w:tc>
              <w:tc>
                <w:tcPr>
                  <w:tcW w:w="4950" w:type="dxa"/>
                  <w:shd w:val="clear" w:color="auto" w:fill="auto"/>
                </w:tcPr>
                <w:p w14:paraId="77DAF491" w14:textId="49C2CE48" w:rsidR="00517991" w:rsidRPr="00D120AE" w:rsidRDefault="00517991" w:rsidP="00517991">
                  <w:pPr>
                    <w:spacing w:after="0" w:line="240" w:lineRule="auto"/>
                    <w:rPr>
                      <w:rFonts w:ascii="Calibri" w:eastAsia="Times New Roman" w:hAnsi="Calibri" w:cs="Arial"/>
                      <w:bCs/>
                    </w:rPr>
                  </w:pPr>
                  <w:r w:rsidRPr="00D120AE">
                    <w:rPr>
                      <w:rFonts w:ascii="Calibri" w:eastAsia="Times New Roman" w:hAnsi="Calibri" w:cs="Arial"/>
                      <w:bCs/>
                    </w:rPr>
                    <w:t xml:space="preserve">Did not complete the course, less than 50% of </w:t>
                  </w:r>
                  <w:r w:rsidR="005C79BB">
                    <w:rPr>
                      <w:rFonts w:ascii="Calibri" w:eastAsia="Times New Roman" w:hAnsi="Calibri" w:cs="Arial"/>
                      <w:bCs/>
                    </w:rPr>
                    <w:t xml:space="preserve">the </w:t>
                  </w:r>
                  <w:r w:rsidRPr="00D120AE">
                    <w:rPr>
                      <w:rFonts w:ascii="Calibri" w:eastAsia="Times New Roman" w:hAnsi="Calibri" w:cs="Arial"/>
                      <w:bCs/>
                    </w:rPr>
                    <w:t>course work completed</w:t>
                  </w:r>
                  <w:r>
                    <w:rPr>
                      <w:rFonts w:ascii="Calibri" w:eastAsia="Times New Roman" w:hAnsi="Calibri" w:cs="Arial"/>
                      <w:bCs/>
                    </w:rPr>
                    <w:t xml:space="preserve">, </w:t>
                  </w:r>
                  <w:r w:rsidRPr="00D120AE">
                    <w:rPr>
                      <w:rFonts w:ascii="Calibri" w:eastAsia="Times New Roman" w:hAnsi="Calibri" w:cs="Arial"/>
                      <w:bCs/>
                    </w:rPr>
                    <w:t>or mandatory course component(s) not completed.  No official withdrawal.</w:t>
                  </w:r>
                </w:p>
              </w:tc>
            </w:tr>
          </w:tbl>
          <w:p w14:paraId="3A579046" w14:textId="77777777" w:rsidR="00517991" w:rsidRDefault="00517991" w:rsidP="000D5D6F">
            <w:pPr>
              <w:rPr>
                <w:rFonts w:eastAsia="Times New Roman" w:cs="Times New Roman"/>
                <w:b w:val="0"/>
                <w:sz w:val="28"/>
                <w:szCs w:val="28"/>
              </w:rPr>
            </w:pPr>
          </w:p>
        </w:tc>
      </w:tr>
    </w:tbl>
    <w:p w14:paraId="40B7648F" w14:textId="77777777" w:rsidR="00EC6E89" w:rsidRPr="00F73F2A" w:rsidRDefault="00EC6E89" w:rsidP="00EC6E89">
      <w:pPr>
        <w:spacing w:after="0" w:line="240" w:lineRule="auto"/>
        <w:rPr>
          <w:rFonts w:eastAsia="Times New Roman" w:cs="Times New Roman"/>
          <w:b/>
          <w:sz w:val="16"/>
          <w:szCs w:val="16"/>
        </w:rPr>
      </w:pPr>
    </w:p>
    <w:p w14:paraId="220CE591" w14:textId="53E62F74" w:rsidR="003B4D4A" w:rsidRPr="003B4D4A" w:rsidRDefault="007F1BEB" w:rsidP="00EC6E89">
      <w:pPr>
        <w:spacing w:after="0" w:line="240" w:lineRule="auto"/>
        <w:rPr>
          <w:rFonts w:eastAsia="Times New Roman" w:cs="Times New Roman"/>
          <w:b/>
          <w:sz w:val="28"/>
          <w:szCs w:val="28"/>
        </w:rPr>
      </w:pPr>
      <w:r>
        <w:rPr>
          <w:rFonts w:eastAsia="Times New Roman" w:cs="Times New Roman"/>
          <w:b/>
          <w:sz w:val="28"/>
          <w:szCs w:val="28"/>
        </w:rPr>
        <w:t>Attendance</w:t>
      </w:r>
    </w:p>
    <w:p w14:paraId="63CFA61E" w14:textId="77777777" w:rsidR="003B4D4A" w:rsidRPr="00F73F2A" w:rsidRDefault="003B4D4A" w:rsidP="00433F12">
      <w:pPr>
        <w:keepLines/>
        <w:spacing w:after="0" w:line="240" w:lineRule="auto"/>
        <w:rPr>
          <w:rFonts w:eastAsia="Times New Roman" w:cs="Times New Roman"/>
          <w:b/>
          <w:sz w:val="16"/>
          <w:szCs w:val="16"/>
        </w:rPr>
      </w:pPr>
    </w:p>
    <w:tbl>
      <w:tblPr>
        <w:tblStyle w:val="TableGrid"/>
        <w:tblW w:w="0" w:type="auto"/>
        <w:tblLook w:val="04A0" w:firstRow="1" w:lastRow="0" w:firstColumn="1" w:lastColumn="0" w:noHBand="0" w:noVBand="1"/>
      </w:tblPr>
      <w:tblGrid>
        <w:gridCol w:w="10214"/>
      </w:tblGrid>
      <w:tr w:rsidR="003B4D4A" w:rsidRPr="003B4D4A" w14:paraId="1636116C" w14:textId="77777777" w:rsidTr="00CA5076">
        <w:trPr>
          <w:trHeight w:val="782"/>
        </w:trPr>
        <w:tc>
          <w:tcPr>
            <w:tcW w:w="10214" w:type="dxa"/>
            <w:tcMar>
              <w:top w:w="115" w:type="dxa"/>
              <w:left w:w="115" w:type="dxa"/>
              <w:bottom w:w="115" w:type="dxa"/>
              <w:right w:w="115" w:type="dxa"/>
            </w:tcMar>
          </w:tcPr>
          <w:p w14:paraId="19D25624" w14:textId="77777777" w:rsidR="00FA391B" w:rsidRPr="00564B53" w:rsidRDefault="00FA391B" w:rsidP="00FA391B">
            <w:pPr>
              <w:keepLines/>
              <w:rPr>
                <w:rFonts w:asciiTheme="minorHAnsi" w:eastAsia="Times New Roman" w:hAnsiTheme="minorHAnsi" w:cstheme="minorHAnsi"/>
                <w:b w:val="0"/>
                <w:color w:val="auto"/>
                <w:sz w:val="24"/>
                <w:szCs w:val="24"/>
                <w:u w:val="none"/>
              </w:rPr>
            </w:pPr>
            <w:bookmarkStart w:id="2" w:name="_Hlk139972660"/>
            <w:r w:rsidRPr="00564B53">
              <w:rPr>
                <w:rFonts w:asciiTheme="minorHAnsi" w:eastAsia="Times New Roman" w:hAnsiTheme="minorHAnsi" w:cstheme="minorHAnsi"/>
                <w:b w:val="0"/>
                <w:color w:val="auto"/>
                <w:sz w:val="24"/>
                <w:szCs w:val="24"/>
                <w:u w:val="none"/>
              </w:rPr>
              <w:t xml:space="preserve">TRU Policy </w:t>
            </w:r>
            <w:r w:rsidRPr="00564B53">
              <w:rPr>
                <w:rFonts w:asciiTheme="minorHAnsi" w:eastAsia="Times New Roman" w:hAnsiTheme="minorHAnsi" w:cstheme="minorHAnsi"/>
                <w:color w:val="auto"/>
                <w:sz w:val="24"/>
                <w:szCs w:val="24"/>
                <w:u w:val="none"/>
              </w:rPr>
              <w:t>ED 3-5 Student Attendance</w:t>
            </w:r>
            <w:r w:rsidRPr="00564B53">
              <w:rPr>
                <w:rFonts w:asciiTheme="minorHAnsi" w:eastAsia="Times New Roman" w:hAnsiTheme="minorHAnsi" w:cstheme="minorHAnsi"/>
                <w:b w:val="0"/>
                <w:color w:val="auto"/>
                <w:sz w:val="24"/>
                <w:szCs w:val="24"/>
                <w:u w:val="none"/>
              </w:rPr>
              <w:t xml:space="preserve"> states that students may be:</w:t>
            </w:r>
          </w:p>
          <w:p w14:paraId="353F7580" w14:textId="77777777" w:rsidR="00FA391B" w:rsidRPr="00564B53" w:rsidRDefault="00FA391B" w:rsidP="00FA391B">
            <w:pPr>
              <w:keepLines/>
              <w:rPr>
                <w:rFonts w:asciiTheme="minorHAnsi" w:eastAsia="Times New Roman" w:hAnsiTheme="minorHAnsi" w:cstheme="minorHAnsi"/>
                <w:b w:val="0"/>
                <w:color w:val="auto"/>
                <w:sz w:val="24"/>
                <w:szCs w:val="24"/>
                <w:u w:val="none"/>
              </w:rPr>
            </w:pPr>
          </w:p>
          <w:p w14:paraId="29012D36" w14:textId="23CD9FDF" w:rsidR="00FA391B" w:rsidRPr="00FA391B" w:rsidRDefault="00FA391B" w:rsidP="00FA391B">
            <w:pPr>
              <w:pStyle w:val="ListParagraph"/>
              <w:keepLines/>
              <w:numPr>
                <w:ilvl w:val="0"/>
                <w:numId w:val="1"/>
              </w:numPr>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Removed from a course if they miss the first two classes without prior arrangements that are acceptable to the instructor.</w:t>
            </w:r>
          </w:p>
          <w:p w14:paraId="2F188E06" w14:textId="64F0B5D1" w:rsidR="00FA391B" w:rsidRPr="00FA391B" w:rsidRDefault="00FA391B" w:rsidP="00FA391B">
            <w:pPr>
              <w:pStyle w:val="ListParagraph"/>
              <w:keepLines/>
              <w:numPr>
                <w:ilvl w:val="0"/>
                <w:numId w:val="1"/>
              </w:numPr>
              <w:rPr>
                <w:rFonts w:asciiTheme="minorHAnsi" w:eastAsia="Times New Roman" w:hAnsiTheme="minorHAnsi" w:cstheme="minorHAnsi"/>
                <w:b w:val="0"/>
                <w:color w:val="auto"/>
                <w:sz w:val="24"/>
                <w:szCs w:val="24"/>
                <w:u w:val="none"/>
              </w:rPr>
            </w:pPr>
            <w:r w:rsidRPr="00564B53">
              <w:rPr>
                <w:rFonts w:asciiTheme="minorHAnsi" w:eastAsia="Times New Roman" w:hAnsiTheme="minorHAnsi" w:cstheme="minorHAnsi"/>
                <w:b w:val="0"/>
                <w:color w:val="auto"/>
                <w:sz w:val="24"/>
                <w:szCs w:val="24"/>
                <w:u w:val="none"/>
              </w:rPr>
              <w:t>Refused admission to a course by the instructor for lateness, class misconduct, or failure to complete required work</w:t>
            </w:r>
            <w:r>
              <w:rPr>
                <w:rFonts w:asciiTheme="minorHAnsi" w:eastAsia="Times New Roman" w:hAnsiTheme="minorHAnsi" w:cstheme="minorHAnsi"/>
                <w:b w:val="0"/>
                <w:color w:val="auto"/>
                <w:sz w:val="24"/>
                <w:szCs w:val="24"/>
                <w:u w:val="none"/>
              </w:rPr>
              <w:t>.</w:t>
            </w:r>
          </w:p>
          <w:p w14:paraId="724373AD" w14:textId="4DDCD36D" w:rsidR="009735B2" w:rsidRPr="00235352" w:rsidRDefault="00FA391B" w:rsidP="00186C93">
            <w:pPr>
              <w:pStyle w:val="ListParagraph"/>
              <w:keepLines/>
              <w:numPr>
                <w:ilvl w:val="0"/>
                <w:numId w:val="1"/>
              </w:numPr>
              <w:rPr>
                <w:rFonts w:asciiTheme="minorHAnsi" w:eastAsia="Times New Roman" w:hAnsiTheme="minorHAnsi" w:cstheme="minorHAnsi"/>
                <w:color w:val="auto"/>
                <w:sz w:val="24"/>
                <w:szCs w:val="24"/>
              </w:rPr>
            </w:pPr>
            <w:r w:rsidRPr="00564B53">
              <w:rPr>
                <w:rFonts w:asciiTheme="minorHAnsi" w:eastAsia="Times New Roman" w:hAnsiTheme="minorHAnsi" w:cstheme="minorHAnsi"/>
                <w:b w:val="0"/>
                <w:color w:val="auto"/>
                <w:sz w:val="24"/>
                <w:szCs w:val="24"/>
                <w:u w:val="none"/>
              </w:rPr>
              <w:t>Removed from a course by the instructor for deficient attendance without cause</w:t>
            </w:r>
            <w:r w:rsidR="005C79BB">
              <w:rPr>
                <w:rFonts w:asciiTheme="minorHAnsi" w:eastAsia="Times New Roman" w:hAnsiTheme="minorHAnsi" w:cstheme="minorHAnsi"/>
                <w:b w:val="0"/>
                <w:color w:val="auto"/>
                <w:sz w:val="24"/>
                <w:szCs w:val="24"/>
                <w:u w:val="none"/>
              </w:rPr>
              <w:t>,</w:t>
            </w:r>
            <w:r w:rsidRPr="00564B53">
              <w:rPr>
                <w:rFonts w:asciiTheme="minorHAnsi" w:eastAsia="Times New Roman" w:hAnsiTheme="minorHAnsi" w:cstheme="minorHAnsi"/>
                <w:b w:val="0"/>
                <w:color w:val="auto"/>
                <w:sz w:val="24"/>
                <w:szCs w:val="24"/>
                <w:u w:val="none"/>
              </w:rPr>
              <w:t xml:space="preserve"> with the permission of the instructor’s Chairperson or Dean.</w:t>
            </w:r>
            <w:bookmarkEnd w:id="2"/>
          </w:p>
          <w:p w14:paraId="0A90D095" w14:textId="77777777" w:rsidR="00235352" w:rsidRPr="00A762CB" w:rsidRDefault="00235352" w:rsidP="00235352">
            <w:pPr>
              <w:keepLines/>
              <w:rPr>
                <w:rFonts w:asciiTheme="minorHAnsi" w:eastAsia="Times New Roman" w:hAnsiTheme="minorHAnsi" w:cstheme="minorHAnsi"/>
                <w:sz w:val="24"/>
                <w:szCs w:val="24"/>
              </w:rPr>
            </w:pPr>
          </w:p>
          <w:p w14:paraId="2E21E979" w14:textId="10048E2C" w:rsidR="00A762CB" w:rsidRPr="0060693D" w:rsidRDefault="00A762CB" w:rsidP="00A762CB">
            <w:pPr>
              <w:shd w:val="clear" w:color="auto" w:fill="FFFFFF"/>
              <w:ind w:right="720"/>
              <w:rPr>
                <w:rFonts w:asciiTheme="minorHAnsi" w:hAnsiTheme="minorHAnsi" w:cstheme="minorHAnsi"/>
                <w:b w:val="0"/>
                <w:bCs w:val="0"/>
                <w:sz w:val="24"/>
                <w:szCs w:val="24"/>
                <w:u w:val="none"/>
              </w:rPr>
            </w:pPr>
            <w:r w:rsidRPr="0060693D">
              <w:rPr>
                <w:rFonts w:asciiTheme="minorHAnsi" w:hAnsiTheme="minorHAnsi" w:cstheme="minorHAnsi"/>
                <w:b w:val="0"/>
                <w:bCs w:val="0"/>
                <w:sz w:val="24"/>
                <w:szCs w:val="24"/>
                <w:u w:val="none"/>
              </w:rPr>
              <w:t>This semester</w:t>
            </w:r>
            <w:r w:rsidR="005C79BB">
              <w:rPr>
                <w:rFonts w:asciiTheme="minorHAnsi" w:hAnsiTheme="minorHAnsi" w:cstheme="minorHAnsi"/>
                <w:b w:val="0"/>
                <w:bCs w:val="0"/>
                <w:sz w:val="24"/>
                <w:szCs w:val="24"/>
                <w:u w:val="none"/>
              </w:rPr>
              <w:t>,</w:t>
            </w:r>
            <w:r w:rsidRPr="0060693D">
              <w:rPr>
                <w:rFonts w:asciiTheme="minorHAnsi" w:hAnsiTheme="minorHAnsi" w:cstheme="minorHAnsi"/>
                <w:b w:val="0"/>
                <w:bCs w:val="0"/>
                <w:sz w:val="24"/>
                <w:szCs w:val="24"/>
                <w:u w:val="none"/>
              </w:rPr>
              <w:t xml:space="preserve"> your instructor will enforce the following rules:</w:t>
            </w:r>
          </w:p>
          <w:p w14:paraId="66068F43" w14:textId="77777777" w:rsidR="00A762CB" w:rsidRPr="00A762CB" w:rsidRDefault="00A762CB" w:rsidP="00A762CB">
            <w:pPr>
              <w:shd w:val="clear" w:color="auto" w:fill="FFFFFF"/>
              <w:ind w:left="720" w:right="720"/>
              <w:rPr>
                <w:rFonts w:asciiTheme="minorHAnsi" w:hAnsiTheme="minorHAnsi" w:cstheme="minorHAnsi"/>
                <w:sz w:val="24"/>
                <w:szCs w:val="24"/>
              </w:rPr>
            </w:pPr>
          </w:p>
          <w:p w14:paraId="24B2E20C" w14:textId="77777777" w:rsidR="00A762CB" w:rsidRPr="00A762CB" w:rsidRDefault="00A762CB" w:rsidP="000505C0">
            <w:pPr>
              <w:numPr>
                <w:ilvl w:val="0"/>
                <w:numId w:val="2"/>
              </w:numPr>
              <w:shd w:val="clear" w:color="auto" w:fill="FFFFFF"/>
              <w:ind w:left="420" w:right="720" w:hanging="450"/>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Cell phones should be turned off and stored away during class unless authorized.</w:t>
            </w:r>
          </w:p>
          <w:p w14:paraId="7D969EA1" w14:textId="646B8305" w:rsidR="00A762CB" w:rsidRPr="00A762CB" w:rsidRDefault="00A762CB" w:rsidP="000505C0">
            <w:pPr>
              <w:pStyle w:val="ListParagraph"/>
              <w:numPr>
                <w:ilvl w:val="0"/>
                <w:numId w:val="2"/>
              </w:numPr>
              <w:ind w:left="420" w:right="720" w:hanging="450"/>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are required to attend regularly.  Attendance will be taken</w:t>
            </w:r>
            <w:r w:rsidR="00303235">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and those who miss more than five classes during the semester will be removed.  Students who are removed will receive a Withdrawal (“W”) on their transcript if they leave before the drop date set by TRU’s Registrar.  If they are removed after the drop date, they will receive a Did Not Complete (“DNC”).</w:t>
            </w:r>
          </w:p>
          <w:p w14:paraId="16507024" w14:textId="77777777" w:rsidR="00A762CB" w:rsidRPr="00A762CB" w:rsidRDefault="00A762CB" w:rsidP="000505C0">
            <w:pPr>
              <w:numPr>
                <w:ilvl w:val="0"/>
                <w:numId w:val="2"/>
              </w:numPr>
              <w:shd w:val="clear" w:color="auto" w:fill="FFFFFF"/>
              <w:ind w:left="420" w:right="720" w:hanging="450"/>
              <w:rPr>
                <w:rFonts w:asciiTheme="minorHAnsi" w:hAnsiTheme="minorHAnsi" w:cstheme="minorHAnsi"/>
                <w:b w:val="0"/>
                <w:bCs w:val="0"/>
                <w:sz w:val="24"/>
                <w:szCs w:val="24"/>
                <w:u w:val="none"/>
              </w:rPr>
            </w:pPr>
            <w:r w:rsidRPr="00A762CB">
              <w:rPr>
                <w:rFonts w:asciiTheme="minorHAnsi" w:hAnsiTheme="minorHAnsi" w:cstheme="minorHAnsi"/>
                <w:b w:val="0"/>
                <w:bCs w:val="0"/>
                <w:sz w:val="24"/>
                <w:szCs w:val="24"/>
                <w:u w:val="none"/>
              </w:rPr>
              <w:t>Students must arrive at class on time.  If they are late, the instructor may allow the student to enter the classroom or deny admission.  In either situation, the student will be marked absent.</w:t>
            </w:r>
          </w:p>
          <w:p w14:paraId="1E1B3E69" w14:textId="6BA9EB13" w:rsidR="00235352" w:rsidRPr="00A762CB" w:rsidRDefault="00A762CB" w:rsidP="000505C0">
            <w:pPr>
              <w:pStyle w:val="ListParagraph"/>
              <w:numPr>
                <w:ilvl w:val="0"/>
                <w:numId w:val="2"/>
              </w:numPr>
              <w:ind w:left="420" w:right="720" w:hanging="450"/>
              <w:rPr>
                <w:rFonts w:ascii="Gisha" w:hAnsi="Gisha" w:cs="Gisha"/>
                <w:b w:val="0"/>
                <w:bCs w:val="0"/>
                <w:sz w:val="24"/>
                <w:szCs w:val="24"/>
                <w:u w:val="none"/>
              </w:rPr>
            </w:pPr>
            <w:r w:rsidRPr="00A762CB">
              <w:rPr>
                <w:rFonts w:asciiTheme="minorHAnsi" w:hAnsiTheme="minorHAnsi" w:cstheme="minorHAnsi"/>
                <w:b w:val="0"/>
                <w:bCs w:val="0"/>
                <w:sz w:val="24"/>
                <w:szCs w:val="24"/>
                <w:u w:val="none"/>
              </w:rPr>
              <w:t>The absences permitted are for any reason</w:t>
            </w:r>
            <w:r w:rsidR="00303235">
              <w:rPr>
                <w:rFonts w:asciiTheme="minorHAnsi" w:hAnsiTheme="minorHAnsi" w:cstheme="minorHAnsi"/>
                <w:b w:val="0"/>
                <w:bCs w:val="0"/>
                <w:sz w:val="24"/>
                <w:szCs w:val="24"/>
                <w:u w:val="none"/>
              </w:rPr>
              <w:t>,</w:t>
            </w:r>
            <w:r w:rsidRPr="00A762CB">
              <w:rPr>
                <w:rFonts w:asciiTheme="minorHAnsi" w:hAnsiTheme="minorHAnsi" w:cstheme="minorHAnsi"/>
                <w:b w:val="0"/>
                <w:bCs w:val="0"/>
                <w:sz w:val="24"/>
                <w:szCs w:val="24"/>
                <w:u w:val="none"/>
              </w:rPr>
              <w:t xml:space="preserve"> including work or medical.  Students who inform their instructors of their absence ahead of time will still be marked absent.  Students should set a goal of zero absences and use the absences allowed for emergencies only.  Exceptions are only made for students experiencing serious medical or family issues. </w:t>
            </w:r>
          </w:p>
        </w:tc>
      </w:tr>
      <w:bookmarkEnd w:id="1"/>
    </w:tbl>
    <w:p w14:paraId="07FA82D1" w14:textId="5DA25F17" w:rsidR="003B4D4A" w:rsidRPr="00C27879" w:rsidRDefault="003B4D4A" w:rsidP="007A7D0E">
      <w:pPr>
        <w:tabs>
          <w:tab w:val="left" w:pos="6583"/>
        </w:tabs>
        <w:rPr>
          <w:rFonts w:eastAsia="Times New Roman" w:cs="Times New Roman"/>
          <w:sz w:val="24"/>
          <w:szCs w:val="24"/>
        </w:rPr>
      </w:pPr>
    </w:p>
    <w:sectPr w:rsidR="003B4D4A" w:rsidRPr="00C27879" w:rsidSect="0060577E">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1DD35" w14:textId="77777777" w:rsidR="00713C68" w:rsidRDefault="00713C68" w:rsidP="007406D3">
      <w:pPr>
        <w:spacing w:after="0" w:line="240" w:lineRule="auto"/>
      </w:pPr>
      <w:r>
        <w:separator/>
      </w:r>
    </w:p>
  </w:endnote>
  <w:endnote w:type="continuationSeparator" w:id="0">
    <w:p w14:paraId="73685427" w14:textId="77777777" w:rsidR="00713C68" w:rsidRDefault="00713C68" w:rsidP="0074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DABF" w14:textId="77777777" w:rsidR="000057DB" w:rsidRDefault="00000000" w:rsidP="00E928E9">
    <w:pPr>
      <w:pStyle w:val="Footer"/>
      <w:tabs>
        <w:tab w:val="clear" w:pos="9360"/>
        <w:tab w:val="right" w:pos="10170"/>
      </w:tabs>
      <w:rPr>
        <w:rFonts w:asciiTheme="minorHAnsi" w:eastAsiaTheme="majorEastAsia" w:hAnsiTheme="minorHAnsi"/>
        <w:b/>
      </w:rPr>
    </w:pPr>
    <w:r>
      <w:rPr>
        <w:rFonts w:asciiTheme="minorHAnsi" w:eastAsiaTheme="majorEastAsia" w:hAnsiTheme="minorHAnsi"/>
        <w:b/>
      </w:rPr>
      <w:pict w14:anchorId="352D5EF1">
        <v:rect id="_x0000_i1025" style="width:0;height:1.5pt" o:hralign="center" o:hrstd="t" o:hr="t" fillcolor="#a0a0a0" stroked="f"/>
      </w:pict>
    </w:r>
  </w:p>
  <w:p w14:paraId="3B1DA96E" w14:textId="06D27636" w:rsidR="000057DB" w:rsidRPr="00D24B5E" w:rsidRDefault="000057DB" w:rsidP="00D24B5E">
    <w:pPr>
      <w:pStyle w:val="Footer"/>
      <w:tabs>
        <w:tab w:val="clear" w:pos="9360"/>
        <w:tab w:val="right" w:pos="10170"/>
      </w:tabs>
      <w:rPr>
        <w:rFonts w:asciiTheme="minorHAnsi" w:eastAsiaTheme="majorEastAsia" w:hAnsiTheme="minorHAnsi"/>
        <w:b/>
      </w:rPr>
    </w:pPr>
    <w:r>
      <w:rPr>
        <w:rFonts w:asciiTheme="minorHAnsi" w:eastAsiaTheme="majorEastAsia" w:hAnsiTheme="minorHAnsi"/>
        <w:b/>
      </w:rPr>
      <w:t>FNCE 41</w:t>
    </w:r>
    <w:r w:rsidR="007B4579">
      <w:rPr>
        <w:rFonts w:asciiTheme="minorHAnsi" w:eastAsiaTheme="majorEastAsia" w:hAnsiTheme="minorHAnsi"/>
        <w:b/>
      </w:rPr>
      <w:t>30</w:t>
    </w:r>
    <w:r>
      <w:rPr>
        <w:rFonts w:asciiTheme="minorHAnsi" w:eastAsiaTheme="majorEastAsia" w:hAnsiTheme="minorHAnsi"/>
        <w:b/>
      </w:rPr>
      <w:t xml:space="preserve"> Advanced Financial Management </w:t>
    </w:r>
    <w:r w:rsidR="007B4579">
      <w:rPr>
        <w:rFonts w:asciiTheme="minorHAnsi" w:eastAsiaTheme="majorEastAsia" w:hAnsiTheme="minorHAnsi"/>
        <w:b/>
      </w:rPr>
      <w:t xml:space="preserve">                              </w:t>
    </w:r>
    <w:r>
      <w:rPr>
        <w:rFonts w:asciiTheme="minorHAnsi" w:eastAsiaTheme="majorEastAsia" w:hAnsiTheme="minorHAnsi"/>
        <w:b/>
      </w:rPr>
      <w:t xml:space="preserve">                                         </w:t>
    </w:r>
    <w:r w:rsidRPr="003B4D4A">
      <w:rPr>
        <w:rFonts w:asciiTheme="minorHAnsi" w:eastAsiaTheme="majorEastAsia" w:hAnsiTheme="minorHAnsi"/>
        <w:b/>
      </w:rPr>
      <w:t xml:space="preserve">                </w:t>
    </w:r>
    <w:r w:rsidR="005F090B">
      <w:rPr>
        <w:rFonts w:asciiTheme="minorHAnsi" w:eastAsiaTheme="majorEastAsia" w:hAnsiTheme="minorHAnsi"/>
        <w:b/>
      </w:rPr>
      <w:t xml:space="preserve">    </w:t>
    </w:r>
    <w:r w:rsidRPr="003B4D4A">
      <w:rPr>
        <w:rFonts w:asciiTheme="minorHAnsi" w:eastAsiaTheme="majorEastAsia" w:hAnsiTheme="minorHAnsi"/>
        <w:b/>
      </w:rPr>
      <w:t xml:space="preserve">Page </w:t>
    </w:r>
    <w:r w:rsidRPr="003B4D4A">
      <w:rPr>
        <w:rFonts w:asciiTheme="minorHAnsi" w:eastAsiaTheme="minorEastAsia" w:hAnsiTheme="minorHAnsi"/>
        <w:b/>
      </w:rPr>
      <w:fldChar w:fldCharType="begin"/>
    </w:r>
    <w:r w:rsidRPr="003B4D4A">
      <w:rPr>
        <w:rFonts w:asciiTheme="minorHAnsi" w:hAnsiTheme="minorHAnsi"/>
        <w:b/>
      </w:rPr>
      <w:instrText xml:space="preserve"> PAGE   \* MERGEFORMAT </w:instrText>
    </w:r>
    <w:r w:rsidRPr="003B4D4A">
      <w:rPr>
        <w:rFonts w:asciiTheme="minorHAnsi" w:eastAsiaTheme="minorEastAsia" w:hAnsiTheme="minorHAnsi"/>
        <w:b/>
      </w:rPr>
      <w:fldChar w:fldCharType="separate"/>
    </w:r>
    <w:r w:rsidRPr="00FB7B54">
      <w:rPr>
        <w:rFonts w:asciiTheme="minorHAnsi" w:eastAsiaTheme="majorEastAsia" w:hAnsiTheme="minorHAnsi"/>
        <w:b/>
        <w:noProof/>
      </w:rPr>
      <w:t>3</w:t>
    </w:r>
    <w:r w:rsidRPr="003B4D4A">
      <w:rPr>
        <w:rFonts w:asciiTheme="minorHAnsi" w:eastAsiaTheme="majorEastAsia" w:hAnsiTheme="minorHAnsi"/>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F376B" w14:textId="77777777" w:rsidR="00713C68" w:rsidRDefault="00713C68" w:rsidP="007406D3">
      <w:pPr>
        <w:spacing w:after="0" w:line="240" w:lineRule="auto"/>
      </w:pPr>
      <w:r>
        <w:separator/>
      </w:r>
    </w:p>
  </w:footnote>
  <w:footnote w:type="continuationSeparator" w:id="0">
    <w:p w14:paraId="4D249FE6" w14:textId="77777777" w:rsidR="00713C68" w:rsidRDefault="00713C68" w:rsidP="0074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971"/>
    <w:multiLevelType w:val="hybridMultilevel"/>
    <w:tmpl w:val="94D8AF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46"/>
    <w:multiLevelType w:val="multilevel"/>
    <w:tmpl w:val="7618F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93B3C"/>
    <w:multiLevelType w:val="multilevel"/>
    <w:tmpl w:val="41B4E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403AC"/>
    <w:multiLevelType w:val="multilevel"/>
    <w:tmpl w:val="6212E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8"/>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601DE"/>
    <w:multiLevelType w:val="multilevel"/>
    <w:tmpl w:val="98CC6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84328"/>
    <w:multiLevelType w:val="multilevel"/>
    <w:tmpl w:val="3C749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02C43"/>
    <w:multiLevelType w:val="hybridMultilevel"/>
    <w:tmpl w:val="76EA7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A22E3"/>
    <w:multiLevelType w:val="multilevel"/>
    <w:tmpl w:val="3CFE3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F2E06"/>
    <w:multiLevelType w:val="multilevel"/>
    <w:tmpl w:val="9CA63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50AE0"/>
    <w:multiLevelType w:val="hybridMultilevel"/>
    <w:tmpl w:val="D59A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544E6"/>
    <w:multiLevelType w:val="multilevel"/>
    <w:tmpl w:val="FBBAB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1399C"/>
    <w:multiLevelType w:val="multilevel"/>
    <w:tmpl w:val="BADAE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A4F27"/>
    <w:multiLevelType w:val="multilevel"/>
    <w:tmpl w:val="BCF8F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F02188"/>
    <w:multiLevelType w:val="multilevel"/>
    <w:tmpl w:val="49781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93C5B"/>
    <w:multiLevelType w:val="multilevel"/>
    <w:tmpl w:val="5B8C7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B3846"/>
    <w:multiLevelType w:val="multilevel"/>
    <w:tmpl w:val="26028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95C0B"/>
    <w:multiLevelType w:val="multilevel"/>
    <w:tmpl w:val="DDC2E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C0B41"/>
    <w:multiLevelType w:val="hybridMultilevel"/>
    <w:tmpl w:val="FA1A41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A76E6"/>
    <w:multiLevelType w:val="multilevel"/>
    <w:tmpl w:val="4EF20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D40B2"/>
    <w:multiLevelType w:val="multilevel"/>
    <w:tmpl w:val="758AC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051A9"/>
    <w:multiLevelType w:val="multilevel"/>
    <w:tmpl w:val="2564B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76C1C"/>
    <w:multiLevelType w:val="multilevel"/>
    <w:tmpl w:val="70AC0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2095A"/>
    <w:multiLevelType w:val="multilevel"/>
    <w:tmpl w:val="FB4AF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411DA"/>
    <w:multiLevelType w:val="multilevel"/>
    <w:tmpl w:val="38C43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B10A6"/>
    <w:multiLevelType w:val="multilevel"/>
    <w:tmpl w:val="E4FC1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4035F"/>
    <w:multiLevelType w:val="multilevel"/>
    <w:tmpl w:val="F2F09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D12D1"/>
    <w:multiLevelType w:val="hybridMultilevel"/>
    <w:tmpl w:val="1D98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9133C"/>
    <w:multiLevelType w:val="multilevel"/>
    <w:tmpl w:val="1F0EE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206B7"/>
    <w:multiLevelType w:val="multilevel"/>
    <w:tmpl w:val="8EB64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70B51"/>
    <w:multiLevelType w:val="hybridMultilevel"/>
    <w:tmpl w:val="C9EE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868DE"/>
    <w:multiLevelType w:val="hybridMultilevel"/>
    <w:tmpl w:val="A32428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43023"/>
    <w:multiLevelType w:val="multilevel"/>
    <w:tmpl w:val="D9203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7"/>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8841FF"/>
    <w:multiLevelType w:val="multilevel"/>
    <w:tmpl w:val="2F287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16E47"/>
    <w:multiLevelType w:val="hybridMultilevel"/>
    <w:tmpl w:val="C17681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E4372"/>
    <w:multiLevelType w:val="multilevel"/>
    <w:tmpl w:val="3B3CD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34429E"/>
    <w:multiLevelType w:val="multilevel"/>
    <w:tmpl w:val="C1BE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A847D6"/>
    <w:multiLevelType w:val="hybridMultilevel"/>
    <w:tmpl w:val="2EF26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E48CE"/>
    <w:multiLevelType w:val="hybridMultilevel"/>
    <w:tmpl w:val="AAC6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E7846"/>
    <w:multiLevelType w:val="hybridMultilevel"/>
    <w:tmpl w:val="E21E3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0552D"/>
    <w:multiLevelType w:val="hybridMultilevel"/>
    <w:tmpl w:val="C674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45546"/>
    <w:multiLevelType w:val="multilevel"/>
    <w:tmpl w:val="282EE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90BA4"/>
    <w:multiLevelType w:val="multilevel"/>
    <w:tmpl w:val="9CB8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950E85"/>
    <w:multiLevelType w:val="hybridMultilevel"/>
    <w:tmpl w:val="8A5A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02CF8"/>
    <w:multiLevelType w:val="multilevel"/>
    <w:tmpl w:val="CFD47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655CBF"/>
    <w:multiLevelType w:val="multilevel"/>
    <w:tmpl w:val="99281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26411"/>
    <w:multiLevelType w:val="multilevel"/>
    <w:tmpl w:val="3C66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773889">
    <w:abstractNumId w:val="9"/>
  </w:num>
  <w:num w:numId="2" w16cid:durableId="1033044778">
    <w:abstractNumId w:val="42"/>
  </w:num>
  <w:num w:numId="3" w16cid:durableId="423572965">
    <w:abstractNumId w:val="35"/>
  </w:num>
  <w:num w:numId="4" w16cid:durableId="621501120">
    <w:abstractNumId w:val="27"/>
  </w:num>
  <w:num w:numId="5" w16cid:durableId="1438714532">
    <w:abstractNumId w:val="20"/>
  </w:num>
  <w:num w:numId="6" w16cid:durableId="998192853">
    <w:abstractNumId w:val="25"/>
  </w:num>
  <w:num w:numId="7" w16cid:durableId="1654604141">
    <w:abstractNumId w:val="8"/>
  </w:num>
  <w:num w:numId="8" w16cid:durableId="1978222654">
    <w:abstractNumId w:val="45"/>
  </w:num>
  <w:num w:numId="9" w16cid:durableId="1344360255">
    <w:abstractNumId w:val="16"/>
  </w:num>
  <w:num w:numId="10" w16cid:durableId="1365012186">
    <w:abstractNumId w:val="1"/>
  </w:num>
  <w:num w:numId="11" w16cid:durableId="1810511200">
    <w:abstractNumId w:val="31"/>
  </w:num>
  <w:num w:numId="12" w16cid:durableId="1367952006">
    <w:abstractNumId w:val="39"/>
  </w:num>
  <w:num w:numId="13" w16cid:durableId="543564880">
    <w:abstractNumId w:val="6"/>
  </w:num>
  <w:num w:numId="14" w16cid:durableId="722801204">
    <w:abstractNumId w:val="36"/>
  </w:num>
  <w:num w:numId="15" w16cid:durableId="1455708464">
    <w:abstractNumId w:val="33"/>
  </w:num>
  <w:num w:numId="16" w16cid:durableId="1356924841">
    <w:abstractNumId w:val="38"/>
  </w:num>
  <w:num w:numId="17" w16cid:durableId="1110319300">
    <w:abstractNumId w:val="17"/>
  </w:num>
  <w:num w:numId="18" w16cid:durableId="1632436869">
    <w:abstractNumId w:val="0"/>
  </w:num>
  <w:num w:numId="19" w16cid:durableId="1200312724">
    <w:abstractNumId w:val="26"/>
  </w:num>
  <w:num w:numId="20" w16cid:durableId="1132019605">
    <w:abstractNumId w:val="37"/>
  </w:num>
  <w:num w:numId="21" w16cid:durableId="1648123226">
    <w:abstractNumId w:val="30"/>
  </w:num>
  <w:num w:numId="22" w16cid:durableId="1540437481">
    <w:abstractNumId w:val="43"/>
  </w:num>
  <w:num w:numId="23" w16cid:durableId="1710371739">
    <w:abstractNumId w:val="10"/>
  </w:num>
  <w:num w:numId="24" w16cid:durableId="695732626">
    <w:abstractNumId w:val="24"/>
  </w:num>
  <w:num w:numId="25" w16cid:durableId="2100062175">
    <w:abstractNumId w:val="21"/>
  </w:num>
  <w:num w:numId="26" w16cid:durableId="480317778">
    <w:abstractNumId w:val="40"/>
  </w:num>
  <w:num w:numId="27" w16cid:durableId="1054113467">
    <w:abstractNumId w:val="13"/>
  </w:num>
  <w:num w:numId="28" w16cid:durableId="1233731535">
    <w:abstractNumId w:val="28"/>
  </w:num>
  <w:num w:numId="29" w16cid:durableId="870535412">
    <w:abstractNumId w:val="19"/>
  </w:num>
  <w:num w:numId="30" w16cid:durableId="793064837">
    <w:abstractNumId w:val="34"/>
  </w:num>
  <w:num w:numId="31" w16cid:durableId="1916744003">
    <w:abstractNumId w:val="3"/>
  </w:num>
  <w:num w:numId="32" w16cid:durableId="259532539">
    <w:abstractNumId w:val="23"/>
  </w:num>
  <w:num w:numId="33" w16cid:durableId="1673147306">
    <w:abstractNumId w:val="4"/>
  </w:num>
  <w:num w:numId="34" w16cid:durableId="1500076019">
    <w:abstractNumId w:val="44"/>
  </w:num>
  <w:num w:numId="35" w16cid:durableId="1749038803">
    <w:abstractNumId w:val="22"/>
  </w:num>
  <w:num w:numId="36" w16cid:durableId="2122873470">
    <w:abstractNumId w:val="14"/>
  </w:num>
  <w:num w:numId="37" w16cid:durableId="1038090413">
    <w:abstractNumId w:val="5"/>
  </w:num>
  <w:num w:numId="38" w16cid:durableId="1421832717">
    <w:abstractNumId w:val="15"/>
  </w:num>
  <w:num w:numId="39" w16cid:durableId="1924482985">
    <w:abstractNumId w:val="18"/>
  </w:num>
  <w:num w:numId="40" w16cid:durableId="1001934724">
    <w:abstractNumId w:val="12"/>
  </w:num>
  <w:num w:numId="41" w16cid:durableId="318274155">
    <w:abstractNumId w:val="32"/>
  </w:num>
  <w:num w:numId="42" w16cid:durableId="1673799170">
    <w:abstractNumId w:val="11"/>
  </w:num>
  <w:num w:numId="43" w16cid:durableId="841816521">
    <w:abstractNumId w:val="41"/>
  </w:num>
  <w:num w:numId="44" w16cid:durableId="1262294869">
    <w:abstractNumId w:val="2"/>
  </w:num>
  <w:num w:numId="45" w16cid:durableId="1782452464">
    <w:abstractNumId w:val="7"/>
  </w:num>
  <w:num w:numId="46" w16cid:durableId="1488856802">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0MjAwNzQwtzSwNDJX0lEKTi0uzszPAykwqgUAvkWGNCwAAAA="/>
  </w:docVars>
  <w:rsids>
    <w:rsidRoot w:val="0060577E"/>
    <w:rsid w:val="00002798"/>
    <w:rsid w:val="000041A1"/>
    <w:rsid w:val="0000572F"/>
    <w:rsid w:val="000057DB"/>
    <w:rsid w:val="00006E7C"/>
    <w:rsid w:val="00014DAD"/>
    <w:rsid w:val="0002170D"/>
    <w:rsid w:val="00025168"/>
    <w:rsid w:val="00025399"/>
    <w:rsid w:val="0002601D"/>
    <w:rsid w:val="00027E52"/>
    <w:rsid w:val="000335AE"/>
    <w:rsid w:val="0004372A"/>
    <w:rsid w:val="00043CDB"/>
    <w:rsid w:val="00046CCA"/>
    <w:rsid w:val="000505C0"/>
    <w:rsid w:val="0005236A"/>
    <w:rsid w:val="0005378D"/>
    <w:rsid w:val="0005471C"/>
    <w:rsid w:val="000553F5"/>
    <w:rsid w:val="00062094"/>
    <w:rsid w:val="00066715"/>
    <w:rsid w:val="000705D8"/>
    <w:rsid w:val="000750D8"/>
    <w:rsid w:val="00081DC1"/>
    <w:rsid w:val="00083C19"/>
    <w:rsid w:val="00083C77"/>
    <w:rsid w:val="00086605"/>
    <w:rsid w:val="00087D59"/>
    <w:rsid w:val="000914BD"/>
    <w:rsid w:val="0009392A"/>
    <w:rsid w:val="000A0650"/>
    <w:rsid w:val="000A4C4E"/>
    <w:rsid w:val="000B5A66"/>
    <w:rsid w:val="000B731A"/>
    <w:rsid w:val="000B7FAB"/>
    <w:rsid w:val="000C14DE"/>
    <w:rsid w:val="000C4915"/>
    <w:rsid w:val="000D5D6F"/>
    <w:rsid w:val="000E003D"/>
    <w:rsid w:val="000E1B72"/>
    <w:rsid w:val="000E290F"/>
    <w:rsid w:val="000E4C2B"/>
    <w:rsid w:val="000E4C83"/>
    <w:rsid w:val="000E74B7"/>
    <w:rsid w:val="000F01D8"/>
    <w:rsid w:val="000F08BB"/>
    <w:rsid w:val="000F2775"/>
    <w:rsid w:val="000F4DE6"/>
    <w:rsid w:val="000F51EE"/>
    <w:rsid w:val="000F5BE7"/>
    <w:rsid w:val="000F6BD1"/>
    <w:rsid w:val="000F6D22"/>
    <w:rsid w:val="000F6F1A"/>
    <w:rsid w:val="00100D1D"/>
    <w:rsid w:val="00100F1B"/>
    <w:rsid w:val="00105A9F"/>
    <w:rsid w:val="001134AF"/>
    <w:rsid w:val="0011711D"/>
    <w:rsid w:val="00122E47"/>
    <w:rsid w:val="0012543F"/>
    <w:rsid w:val="00125A3C"/>
    <w:rsid w:val="0013225C"/>
    <w:rsid w:val="00133B8D"/>
    <w:rsid w:val="0013400D"/>
    <w:rsid w:val="00137FBF"/>
    <w:rsid w:val="001416F4"/>
    <w:rsid w:val="00145F46"/>
    <w:rsid w:val="00145FC1"/>
    <w:rsid w:val="00146CF2"/>
    <w:rsid w:val="00153272"/>
    <w:rsid w:val="00153F40"/>
    <w:rsid w:val="001550B1"/>
    <w:rsid w:val="001718D7"/>
    <w:rsid w:val="00173277"/>
    <w:rsid w:val="00177252"/>
    <w:rsid w:val="001811AD"/>
    <w:rsid w:val="001859FE"/>
    <w:rsid w:val="00186C93"/>
    <w:rsid w:val="001871CB"/>
    <w:rsid w:val="00190968"/>
    <w:rsid w:val="00196E9D"/>
    <w:rsid w:val="0019700B"/>
    <w:rsid w:val="0019709B"/>
    <w:rsid w:val="001A1797"/>
    <w:rsid w:val="001A55DA"/>
    <w:rsid w:val="001B2EEB"/>
    <w:rsid w:val="001B7E34"/>
    <w:rsid w:val="001C0C12"/>
    <w:rsid w:val="001C210B"/>
    <w:rsid w:val="001C5031"/>
    <w:rsid w:val="001C75F0"/>
    <w:rsid w:val="001C7C3A"/>
    <w:rsid w:val="001D66B3"/>
    <w:rsid w:val="001E48D9"/>
    <w:rsid w:val="001E7A1A"/>
    <w:rsid w:val="001F32EC"/>
    <w:rsid w:val="001F361E"/>
    <w:rsid w:val="001F41AA"/>
    <w:rsid w:val="001F52B9"/>
    <w:rsid w:val="001F7487"/>
    <w:rsid w:val="00201324"/>
    <w:rsid w:val="002026CE"/>
    <w:rsid w:val="002143FB"/>
    <w:rsid w:val="00221DE5"/>
    <w:rsid w:val="002238F5"/>
    <w:rsid w:val="0022623B"/>
    <w:rsid w:val="00226CC2"/>
    <w:rsid w:val="00233532"/>
    <w:rsid w:val="00234404"/>
    <w:rsid w:val="00235352"/>
    <w:rsid w:val="00240B51"/>
    <w:rsid w:val="002410E9"/>
    <w:rsid w:val="00242D63"/>
    <w:rsid w:val="0024380A"/>
    <w:rsid w:val="00243E9C"/>
    <w:rsid w:val="0024790A"/>
    <w:rsid w:val="00251180"/>
    <w:rsid w:val="00251686"/>
    <w:rsid w:val="002570E8"/>
    <w:rsid w:val="002575F0"/>
    <w:rsid w:val="00257752"/>
    <w:rsid w:val="00261056"/>
    <w:rsid w:val="0026676B"/>
    <w:rsid w:val="00266B56"/>
    <w:rsid w:val="002725A8"/>
    <w:rsid w:val="00275B84"/>
    <w:rsid w:val="00280C0F"/>
    <w:rsid w:val="00283EC3"/>
    <w:rsid w:val="0028571C"/>
    <w:rsid w:val="002865FA"/>
    <w:rsid w:val="002868FB"/>
    <w:rsid w:val="0029061D"/>
    <w:rsid w:val="00291C33"/>
    <w:rsid w:val="00292F51"/>
    <w:rsid w:val="00293149"/>
    <w:rsid w:val="00293DCF"/>
    <w:rsid w:val="00297631"/>
    <w:rsid w:val="00297B81"/>
    <w:rsid w:val="002A3182"/>
    <w:rsid w:val="002A3FA8"/>
    <w:rsid w:val="002A62E2"/>
    <w:rsid w:val="002B1E3F"/>
    <w:rsid w:val="002B71B6"/>
    <w:rsid w:val="002C1C3A"/>
    <w:rsid w:val="002C2A47"/>
    <w:rsid w:val="002C2C2D"/>
    <w:rsid w:val="002C5815"/>
    <w:rsid w:val="002C5D9D"/>
    <w:rsid w:val="002C6AAC"/>
    <w:rsid w:val="002D58C2"/>
    <w:rsid w:val="002D64E9"/>
    <w:rsid w:val="002E0345"/>
    <w:rsid w:val="002E0961"/>
    <w:rsid w:val="002F03AC"/>
    <w:rsid w:val="002F1DBE"/>
    <w:rsid w:val="002F23AD"/>
    <w:rsid w:val="002F4229"/>
    <w:rsid w:val="00303235"/>
    <w:rsid w:val="0030474A"/>
    <w:rsid w:val="00307753"/>
    <w:rsid w:val="00314171"/>
    <w:rsid w:val="00315A57"/>
    <w:rsid w:val="003165EC"/>
    <w:rsid w:val="003200BA"/>
    <w:rsid w:val="003243C0"/>
    <w:rsid w:val="003337F4"/>
    <w:rsid w:val="00337D90"/>
    <w:rsid w:val="0034279D"/>
    <w:rsid w:val="00342DCA"/>
    <w:rsid w:val="00350B69"/>
    <w:rsid w:val="00353389"/>
    <w:rsid w:val="003546E9"/>
    <w:rsid w:val="00355065"/>
    <w:rsid w:val="00370A41"/>
    <w:rsid w:val="003719CB"/>
    <w:rsid w:val="00373E46"/>
    <w:rsid w:val="003746EC"/>
    <w:rsid w:val="00380C34"/>
    <w:rsid w:val="003833E8"/>
    <w:rsid w:val="00384C3B"/>
    <w:rsid w:val="00385192"/>
    <w:rsid w:val="00392CD0"/>
    <w:rsid w:val="00393C21"/>
    <w:rsid w:val="003A2172"/>
    <w:rsid w:val="003A3531"/>
    <w:rsid w:val="003A792A"/>
    <w:rsid w:val="003A7B76"/>
    <w:rsid w:val="003B13FA"/>
    <w:rsid w:val="003B2659"/>
    <w:rsid w:val="003B4D4A"/>
    <w:rsid w:val="003C2BB0"/>
    <w:rsid w:val="003C3A4C"/>
    <w:rsid w:val="003C42EC"/>
    <w:rsid w:val="003C5B22"/>
    <w:rsid w:val="003D0154"/>
    <w:rsid w:val="003D1A13"/>
    <w:rsid w:val="003D3A39"/>
    <w:rsid w:val="003D74BD"/>
    <w:rsid w:val="003E189B"/>
    <w:rsid w:val="003F20EB"/>
    <w:rsid w:val="003F4E0B"/>
    <w:rsid w:val="003F5C4B"/>
    <w:rsid w:val="00400111"/>
    <w:rsid w:val="00400A6E"/>
    <w:rsid w:val="00402C77"/>
    <w:rsid w:val="0040557F"/>
    <w:rsid w:val="004069AF"/>
    <w:rsid w:val="004137D9"/>
    <w:rsid w:val="004155AE"/>
    <w:rsid w:val="00427E04"/>
    <w:rsid w:val="004300BA"/>
    <w:rsid w:val="00430938"/>
    <w:rsid w:val="0043096E"/>
    <w:rsid w:val="00432D34"/>
    <w:rsid w:val="00433F12"/>
    <w:rsid w:val="00436CD7"/>
    <w:rsid w:val="004405CC"/>
    <w:rsid w:val="00450224"/>
    <w:rsid w:val="00451F42"/>
    <w:rsid w:val="00461C1C"/>
    <w:rsid w:val="00465092"/>
    <w:rsid w:val="004663A0"/>
    <w:rsid w:val="0047177F"/>
    <w:rsid w:val="00471D7D"/>
    <w:rsid w:val="00473455"/>
    <w:rsid w:val="00474274"/>
    <w:rsid w:val="0047577B"/>
    <w:rsid w:val="00481FC7"/>
    <w:rsid w:val="0048432B"/>
    <w:rsid w:val="004855E3"/>
    <w:rsid w:val="00490B08"/>
    <w:rsid w:val="00491D4E"/>
    <w:rsid w:val="00492802"/>
    <w:rsid w:val="00493DA1"/>
    <w:rsid w:val="00496DB6"/>
    <w:rsid w:val="00497036"/>
    <w:rsid w:val="004A0C2A"/>
    <w:rsid w:val="004A2A78"/>
    <w:rsid w:val="004A67F1"/>
    <w:rsid w:val="004B63F6"/>
    <w:rsid w:val="004B7158"/>
    <w:rsid w:val="004C2ED9"/>
    <w:rsid w:val="004D3DD5"/>
    <w:rsid w:val="004D4535"/>
    <w:rsid w:val="004D77EA"/>
    <w:rsid w:val="004E1C61"/>
    <w:rsid w:val="004E1EE6"/>
    <w:rsid w:val="004E27B1"/>
    <w:rsid w:val="004E5102"/>
    <w:rsid w:val="004E59C7"/>
    <w:rsid w:val="004E79E8"/>
    <w:rsid w:val="004F08AB"/>
    <w:rsid w:val="004F21CA"/>
    <w:rsid w:val="004F2572"/>
    <w:rsid w:val="004F32C1"/>
    <w:rsid w:val="004F5298"/>
    <w:rsid w:val="004F611A"/>
    <w:rsid w:val="004F6E8D"/>
    <w:rsid w:val="0050026D"/>
    <w:rsid w:val="00500D1B"/>
    <w:rsid w:val="00500D4E"/>
    <w:rsid w:val="005028F0"/>
    <w:rsid w:val="00503C4F"/>
    <w:rsid w:val="005073CC"/>
    <w:rsid w:val="00507799"/>
    <w:rsid w:val="00513896"/>
    <w:rsid w:val="00514287"/>
    <w:rsid w:val="00517991"/>
    <w:rsid w:val="00517F04"/>
    <w:rsid w:val="00527462"/>
    <w:rsid w:val="00530BC4"/>
    <w:rsid w:val="0053359C"/>
    <w:rsid w:val="00536351"/>
    <w:rsid w:val="00536931"/>
    <w:rsid w:val="00540F86"/>
    <w:rsid w:val="005448F6"/>
    <w:rsid w:val="00545121"/>
    <w:rsid w:val="005478C4"/>
    <w:rsid w:val="00552863"/>
    <w:rsid w:val="00554959"/>
    <w:rsid w:val="00555A29"/>
    <w:rsid w:val="00555C9F"/>
    <w:rsid w:val="00557A92"/>
    <w:rsid w:val="005624CB"/>
    <w:rsid w:val="00565ECE"/>
    <w:rsid w:val="005671E8"/>
    <w:rsid w:val="00567238"/>
    <w:rsid w:val="00571790"/>
    <w:rsid w:val="005737EB"/>
    <w:rsid w:val="0058046D"/>
    <w:rsid w:val="00581F5E"/>
    <w:rsid w:val="00582652"/>
    <w:rsid w:val="00582D05"/>
    <w:rsid w:val="005835DF"/>
    <w:rsid w:val="00587757"/>
    <w:rsid w:val="00594E82"/>
    <w:rsid w:val="00597461"/>
    <w:rsid w:val="005A024B"/>
    <w:rsid w:val="005A0FE6"/>
    <w:rsid w:val="005A434B"/>
    <w:rsid w:val="005B0C44"/>
    <w:rsid w:val="005B1750"/>
    <w:rsid w:val="005B1ACF"/>
    <w:rsid w:val="005B5AD4"/>
    <w:rsid w:val="005C22B3"/>
    <w:rsid w:val="005C459E"/>
    <w:rsid w:val="005C678B"/>
    <w:rsid w:val="005C79BB"/>
    <w:rsid w:val="005D029B"/>
    <w:rsid w:val="005D1D14"/>
    <w:rsid w:val="005D6102"/>
    <w:rsid w:val="005D7308"/>
    <w:rsid w:val="005E3F57"/>
    <w:rsid w:val="005E5EEE"/>
    <w:rsid w:val="005F090B"/>
    <w:rsid w:val="005F1E93"/>
    <w:rsid w:val="005F4E84"/>
    <w:rsid w:val="005F5944"/>
    <w:rsid w:val="005F719B"/>
    <w:rsid w:val="006000E5"/>
    <w:rsid w:val="00600C67"/>
    <w:rsid w:val="00601199"/>
    <w:rsid w:val="00603344"/>
    <w:rsid w:val="00604CF5"/>
    <w:rsid w:val="006055BE"/>
    <w:rsid w:val="0060577E"/>
    <w:rsid w:val="006060A7"/>
    <w:rsid w:val="0060693D"/>
    <w:rsid w:val="006076AE"/>
    <w:rsid w:val="00613337"/>
    <w:rsid w:val="0061702F"/>
    <w:rsid w:val="00617583"/>
    <w:rsid w:val="00625F38"/>
    <w:rsid w:val="00627081"/>
    <w:rsid w:val="006343B6"/>
    <w:rsid w:val="006369FC"/>
    <w:rsid w:val="00636B13"/>
    <w:rsid w:val="00636BD9"/>
    <w:rsid w:val="00640572"/>
    <w:rsid w:val="006419F5"/>
    <w:rsid w:val="0064535A"/>
    <w:rsid w:val="00652F76"/>
    <w:rsid w:val="0065566B"/>
    <w:rsid w:val="00655744"/>
    <w:rsid w:val="00655DA5"/>
    <w:rsid w:val="006632C2"/>
    <w:rsid w:val="00664EF4"/>
    <w:rsid w:val="006724D3"/>
    <w:rsid w:val="006737A2"/>
    <w:rsid w:val="00674FEC"/>
    <w:rsid w:val="00693920"/>
    <w:rsid w:val="0069723D"/>
    <w:rsid w:val="006A0064"/>
    <w:rsid w:val="006A0477"/>
    <w:rsid w:val="006A0A31"/>
    <w:rsid w:val="006A0FF6"/>
    <w:rsid w:val="006A4902"/>
    <w:rsid w:val="006A7E64"/>
    <w:rsid w:val="006B0D08"/>
    <w:rsid w:val="006B457F"/>
    <w:rsid w:val="006B4D7C"/>
    <w:rsid w:val="006C104D"/>
    <w:rsid w:val="006C5D4D"/>
    <w:rsid w:val="006D1D14"/>
    <w:rsid w:val="006D3D62"/>
    <w:rsid w:val="006E191A"/>
    <w:rsid w:val="006E262E"/>
    <w:rsid w:val="006F1B8D"/>
    <w:rsid w:val="006F1F13"/>
    <w:rsid w:val="006F3F74"/>
    <w:rsid w:val="006F55F7"/>
    <w:rsid w:val="00706369"/>
    <w:rsid w:val="007075EB"/>
    <w:rsid w:val="00711FB5"/>
    <w:rsid w:val="00713A32"/>
    <w:rsid w:val="00713C68"/>
    <w:rsid w:val="00714713"/>
    <w:rsid w:val="00714F45"/>
    <w:rsid w:val="0073079A"/>
    <w:rsid w:val="00730DAC"/>
    <w:rsid w:val="00732706"/>
    <w:rsid w:val="00736086"/>
    <w:rsid w:val="007406D3"/>
    <w:rsid w:val="0074162D"/>
    <w:rsid w:val="00743FE9"/>
    <w:rsid w:val="007471C0"/>
    <w:rsid w:val="00747F28"/>
    <w:rsid w:val="007515C6"/>
    <w:rsid w:val="00752087"/>
    <w:rsid w:val="007567AD"/>
    <w:rsid w:val="00756C20"/>
    <w:rsid w:val="00760D39"/>
    <w:rsid w:val="00761BA0"/>
    <w:rsid w:val="00761E39"/>
    <w:rsid w:val="00765A7C"/>
    <w:rsid w:val="00765D91"/>
    <w:rsid w:val="00766E00"/>
    <w:rsid w:val="00767801"/>
    <w:rsid w:val="00767A84"/>
    <w:rsid w:val="007757C4"/>
    <w:rsid w:val="00777160"/>
    <w:rsid w:val="00781814"/>
    <w:rsid w:val="00784CC5"/>
    <w:rsid w:val="00785457"/>
    <w:rsid w:val="007866DA"/>
    <w:rsid w:val="0079033A"/>
    <w:rsid w:val="0079207A"/>
    <w:rsid w:val="00795200"/>
    <w:rsid w:val="0079575A"/>
    <w:rsid w:val="00796BB7"/>
    <w:rsid w:val="007A185A"/>
    <w:rsid w:val="007A3787"/>
    <w:rsid w:val="007A6925"/>
    <w:rsid w:val="007A7D0E"/>
    <w:rsid w:val="007B0CD3"/>
    <w:rsid w:val="007B31D1"/>
    <w:rsid w:val="007B4579"/>
    <w:rsid w:val="007B60E0"/>
    <w:rsid w:val="007B624C"/>
    <w:rsid w:val="007B7BC2"/>
    <w:rsid w:val="007C7C33"/>
    <w:rsid w:val="007C7DF4"/>
    <w:rsid w:val="007D3D41"/>
    <w:rsid w:val="007D505B"/>
    <w:rsid w:val="007E02B1"/>
    <w:rsid w:val="007E1BE5"/>
    <w:rsid w:val="007E1C53"/>
    <w:rsid w:val="007E476A"/>
    <w:rsid w:val="007E4F70"/>
    <w:rsid w:val="007E6B34"/>
    <w:rsid w:val="007F10DC"/>
    <w:rsid w:val="007F1BEB"/>
    <w:rsid w:val="007F1EB1"/>
    <w:rsid w:val="007F5FE0"/>
    <w:rsid w:val="00800455"/>
    <w:rsid w:val="00801C7C"/>
    <w:rsid w:val="00801F8D"/>
    <w:rsid w:val="008021F3"/>
    <w:rsid w:val="00804442"/>
    <w:rsid w:val="00810046"/>
    <w:rsid w:val="00810B60"/>
    <w:rsid w:val="0081155C"/>
    <w:rsid w:val="008119A0"/>
    <w:rsid w:val="008145C6"/>
    <w:rsid w:val="00815D50"/>
    <w:rsid w:val="008202FF"/>
    <w:rsid w:val="00823563"/>
    <w:rsid w:val="00825264"/>
    <w:rsid w:val="00825C37"/>
    <w:rsid w:val="0082606F"/>
    <w:rsid w:val="008268D6"/>
    <w:rsid w:val="00835A16"/>
    <w:rsid w:val="00842E1C"/>
    <w:rsid w:val="00843363"/>
    <w:rsid w:val="00846714"/>
    <w:rsid w:val="008539F0"/>
    <w:rsid w:val="00857674"/>
    <w:rsid w:val="0086013A"/>
    <w:rsid w:val="00860C28"/>
    <w:rsid w:val="0086386A"/>
    <w:rsid w:val="008639EA"/>
    <w:rsid w:val="00875573"/>
    <w:rsid w:val="00876943"/>
    <w:rsid w:val="00880D9C"/>
    <w:rsid w:val="00885ACF"/>
    <w:rsid w:val="00886FDA"/>
    <w:rsid w:val="00897536"/>
    <w:rsid w:val="008A299B"/>
    <w:rsid w:val="008A2B9A"/>
    <w:rsid w:val="008A454B"/>
    <w:rsid w:val="008A4BEB"/>
    <w:rsid w:val="008A64A0"/>
    <w:rsid w:val="008A7BB7"/>
    <w:rsid w:val="008B0FE7"/>
    <w:rsid w:val="008B472F"/>
    <w:rsid w:val="008C1360"/>
    <w:rsid w:val="008C2653"/>
    <w:rsid w:val="008C3413"/>
    <w:rsid w:val="008C4B9B"/>
    <w:rsid w:val="008C6182"/>
    <w:rsid w:val="008C6E85"/>
    <w:rsid w:val="008D020F"/>
    <w:rsid w:val="008D1669"/>
    <w:rsid w:val="008D1E82"/>
    <w:rsid w:val="008D4A7F"/>
    <w:rsid w:val="008E0A9B"/>
    <w:rsid w:val="008E0DB2"/>
    <w:rsid w:val="008E3AAE"/>
    <w:rsid w:val="008F3A4E"/>
    <w:rsid w:val="00902985"/>
    <w:rsid w:val="009032F3"/>
    <w:rsid w:val="009035C8"/>
    <w:rsid w:val="00910116"/>
    <w:rsid w:val="009172C1"/>
    <w:rsid w:val="00921B56"/>
    <w:rsid w:val="00922989"/>
    <w:rsid w:val="00925686"/>
    <w:rsid w:val="00932DB8"/>
    <w:rsid w:val="009370F1"/>
    <w:rsid w:val="00937288"/>
    <w:rsid w:val="0094289B"/>
    <w:rsid w:val="009456FF"/>
    <w:rsid w:val="009460D9"/>
    <w:rsid w:val="00950179"/>
    <w:rsid w:val="00950DBE"/>
    <w:rsid w:val="0095715F"/>
    <w:rsid w:val="00961B69"/>
    <w:rsid w:val="009627B1"/>
    <w:rsid w:val="00962DBC"/>
    <w:rsid w:val="009634AC"/>
    <w:rsid w:val="00967E87"/>
    <w:rsid w:val="00971FA3"/>
    <w:rsid w:val="009735A2"/>
    <w:rsid w:val="009735B2"/>
    <w:rsid w:val="009737B2"/>
    <w:rsid w:val="00976B00"/>
    <w:rsid w:val="00980598"/>
    <w:rsid w:val="00981CD8"/>
    <w:rsid w:val="00983C17"/>
    <w:rsid w:val="009850CB"/>
    <w:rsid w:val="009919E0"/>
    <w:rsid w:val="009923F6"/>
    <w:rsid w:val="009924F3"/>
    <w:rsid w:val="00993C5C"/>
    <w:rsid w:val="00996008"/>
    <w:rsid w:val="00996902"/>
    <w:rsid w:val="009A203A"/>
    <w:rsid w:val="009A64EC"/>
    <w:rsid w:val="009A765F"/>
    <w:rsid w:val="009B343A"/>
    <w:rsid w:val="009B3694"/>
    <w:rsid w:val="009B4976"/>
    <w:rsid w:val="009B6447"/>
    <w:rsid w:val="009C2C12"/>
    <w:rsid w:val="009C403E"/>
    <w:rsid w:val="009C44DB"/>
    <w:rsid w:val="009C649F"/>
    <w:rsid w:val="009C6BA2"/>
    <w:rsid w:val="009D3ACF"/>
    <w:rsid w:val="009D448B"/>
    <w:rsid w:val="009D60DE"/>
    <w:rsid w:val="009E4E77"/>
    <w:rsid w:val="009E6BC5"/>
    <w:rsid w:val="00A05501"/>
    <w:rsid w:val="00A05FF4"/>
    <w:rsid w:val="00A1138F"/>
    <w:rsid w:val="00A17B07"/>
    <w:rsid w:val="00A202B2"/>
    <w:rsid w:val="00A31DEF"/>
    <w:rsid w:val="00A36B16"/>
    <w:rsid w:val="00A44B63"/>
    <w:rsid w:val="00A500FE"/>
    <w:rsid w:val="00A5258E"/>
    <w:rsid w:val="00A5364B"/>
    <w:rsid w:val="00A536BB"/>
    <w:rsid w:val="00A536DD"/>
    <w:rsid w:val="00A5438F"/>
    <w:rsid w:val="00A57606"/>
    <w:rsid w:val="00A57917"/>
    <w:rsid w:val="00A6124B"/>
    <w:rsid w:val="00A62D7C"/>
    <w:rsid w:val="00A655CE"/>
    <w:rsid w:val="00A762CB"/>
    <w:rsid w:val="00A76E40"/>
    <w:rsid w:val="00A82C25"/>
    <w:rsid w:val="00A90054"/>
    <w:rsid w:val="00A90C65"/>
    <w:rsid w:val="00A95431"/>
    <w:rsid w:val="00A97A6F"/>
    <w:rsid w:val="00AB04AF"/>
    <w:rsid w:val="00AB2FF7"/>
    <w:rsid w:val="00AB3B7C"/>
    <w:rsid w:val="00AB769B"/>
    <w:rsid w:val="00AC022F"/>
    <w:rsid w:val="00AC02C6"/>
    <w:rsid w:val="00AC0ACF"/>
    <w:rsid w:val="00AD0EFA"/>
    <w:rsid w:val="00AD18E6"/>
    <w:rsid w:val="00AD3BCA"/>
    <w:rsid w:val="00AE331C"/>
    <w:rsid w:val="00AE7D0B"/>
    <w:rsid w:val="00B01240"/>
    <w:rsid w:val="00B0215A"/>
    <w:rsid w:val="00B02D19"/>
    <w:rsid w:val="00B06390"/>
    <w:rsid w:val="00B07DF7"/>
    <w:rsid w:val="00B117AC"/>
    <w:rsid w:val="00B12B4F"/>
    <w:rsid w:val="00B12FE8"/>
    <w:rsid w:val="00B1499F"/>
    <w:rsid w:val="00B153F2"/>
    <w:rsid w:val="00B21111"/>
    <w:rsid w:val="00B22EB0"/>
    <w:rsid w:val="00B2432F"/>
    <w:rsid w:val="00B2466D"/>
    <w:rsid w:val="00B27998"/>
    <w:rsid w:val="00B358A5"/>
    <w:rsid w:val="00B403A0"/>
    <w:rsid w:val="00B42578"/>
    <w:rsid w:val="00B51BBB"/>
    <w:rsid w:val="00B53D22"/>
    <w:rsid w:val="00B53D67"/>
    <w:rsid w:val="00B544B0"/>
    <w:rsid w:val="00B5469E"/>
    <w:rsid w:val="00B552E2"/>
    <w:rsid w:val="00B55D86"/>
    <w:rsid w:val="00B56072"/>
    <w:rsid w:val="00B569F5"/>
    <w:rsid w:val="00B570E3"/>
    <w:rsid w:val="00B57519"/>
    <w:rsid w:val="00B62EFD"/>
    <w:rsid w:val="00B64337"/>
    <w:rsid w:val="00B66513"/>
    <w:rsid w:val="00B723EF"/>
    <w:rsid w:val="00B72E5A"/>
    <w:rsid w:val="00B73F90"/>
    <w:rsid w:val="00B74CA3"/>
    <w:rsid w:val="00B82290"/>
    <w:rsid w:val="00B85766"/>
    <w:rsid w:val="00B9302A"/>
    <w:rsid w:val="00B951FF"/>
    <w:rsid w:val="00BA38CA"/>
    <w:rsid w:val="00BA3C64"/>
    <w:rsid w:val="00BA4083"/>
    <w:rsid w:val="00BB0368"/>
    <w:rsid w:val="00BB1D4C"/>
    <w:rsid w:val="00BB291A"/>
    <w:rsid w:val="00BB3C6D"/>
    <w:rsid w:val="00BC1C90"/>
    <w:rsid w:val="00BC2C9F"/>
    <w:rsid w:val="00BC4252"/>
    <w:rsid w:val="00BC4937"/>
    <w:rsid w:val="00BC4F21"/>
    <w:rsid w:val="00BC5B64"/>
    <w:rsid w:val="00BC5DA3"/>
    <w:rsid w:val="00BD08C2"/>
    <w:rsid w:val="00BD12FB"/>
    <w:rsid w:val="00BD4D62"/>
    <w:rsid w:val="00BD5668"/>
    <w:rsid w:val="00BD6381"/>
    <w:rsid w:val="00BD6FB7"/>
    <w:rsid w:val="00BE10B7"/>
    <w:rsid w:val="00BE48BD"/>
    <w:rsid w:val="00BE56FC"/>
    <w:rsid w:val="00BE76B5"/>
    <w:rsid w:val="00BF0D40"/>
    <w:rsid w:val="00BF207E"/>
    <w:rsid w:val="00BF2538"/>
    <w:rsid w:val="00BF2CB7"/>
    <w:rsid w:val="00BF366D"/>
    <w:rsid w:val="00BF3B55"/>
    <w:rsid w:val="00C0376F"/>
    <w:rsid w:val="00C05D81"/>
    <w:rsid w:val="00C13101"/>
    <w:rsid w:val="00C14FC7"/>
    <w:rsid w:val="00C15085"/>
    <w:rsid w:val="00C16678"/>
    <w:rsid w:val="00C1690E"/>
    <w:rsid w:val="00C23629"/>
    <w:rsid w:val="00C24264"/>
    <w:rsid w:val="00C25053"/>
    <w:rsid w:val="00C26812"/>
    <w:rsid w:val="00C27879"/>
    <w:rsid w:val="00C33A70"/>
    <w:rsid w:val="00C36190"/>
    <w:rsid w:val="00C44B84"/>
    <w:rsid w:val="00C468C9"/>
    <w:rsid w:val="00C47E01"/>
    <w:rsid w:val="00C5181E"/>
    <w:rsid w:val="00C52A7C"/>
    <w:rsid w:val="00C53A3C"/>
    <w:rsid w:val="00C6040A"/>
    <w:rsid w:val="00C61FF0"/>
    <w:rsid w:val="00C64C59"/>
    <w:rsid w:val="00C651A9"/>
    <w:rsid w:val="00C65335"/>
    <w:rsid w:val="00C66EF4"/>
    <w:rsid w:val="00C71449"/>
    <w:rsid w:val="00C76ED4"/>
    <w:rsid w:val="00C77424"/>
    <w:rsid w:val="00C902D1"/>
    <w:rsid w:val="00C90580"/>
    <w:rsid w:val="00C92BB5"/>
    <w:rsid w:val="00C96B46"/>
    <w:rsid w:val="00CA282C"/>
    <w:rsid w:val="00CA3B3B"/>
    <w:rsid w:val="00CA476B"/>
    <w:rsid w:val="00CA5076"/>
    <w:rsid w:val="00CA7F9A"/>
    <w:rsid w:val="00CB24EE"/>
    <w:rsid w:val="00CB393C"/>
    <w:rsid w:val="00CC0BBE"/>
    <w:rsid w:val="00CC687D"/>
    <w:rsid w:val="00CC6E50"/>
    <w:rsid w:val="00CD7135"/>
    <w:rsid w:val="00CE0248"/>
    <w:rsid w:val="00CE0B2A"/>
    <w:rsid w:val="00CE656E"/>
    <w:rsid w:val="00CF5771"/>
    <w:rsid w:val="00D0080F"/>
    <w:rsid w:val="00D03549"/>
    <w:rsid w:val="00D03E17"/>
    <w:rsid w:val="00D04DC2"/>
    <w:rsid w:val="00D06EF8"/>
    <w:rsid w:val="00D07C73"/>
    <w:rsid w:val="00D10B74"/>
    <w:rsid w:val="00D120AE"/>
    <w:rsid w:val="00D12F84"/>
    <w:rsid w:val="00D231A6"/>
    <w:rsid w:val="00D244FC"/>
    <w:rsid w:val="00D24B5E"/>
    <w:rsid w:val="00D26A64"/>
    <w:rsid w:val="00D33BB8"/>
    <w:rsid w:val="00D41A3D"/>
    <w:rsid w:val="00D51A0E"/>
    <w:rsid w:val="00D52BF2"/>
    <w:rsid w:val="00D52C9C"/>
    <w:rsid w:val="00D571F5"/>
    <w:rsid w:val="00D6462F"/>
    <w:rsid w:val="00D65122"/>
    <w:rsid w:val="00D74929"/>
    <w:rsid w:val="00D751ED"/>
    <w:rsid w:val="00D7564B"/>
    <w:rsid w:val="00D76915"/>
    <w:rsid w:val="00D80F2A"/>
    <w:rsid w:val="00D80F4D"/>
    <w:rsid w:val="00D9036E"/>
    <w:rsid w:val="00D907EC"/>
    <w:rsid w:val="00D90BC6"/>
    <w:rsid w:val="00D966B4"/>
    <w:rsid w:val="00D96B99"/>
    <w:rsid w:val="00D9748B"/>
    <w:rsid w:val="00DA02BE"/>
    <w:rsid w:val="00DA484D"/>
    <w:rsid w:val="00DA5D69"/>
    <w:rsid w:val="00DB18DD"/>
    <w:rsid w:val="00DB2C05"/>
    <w:rsid w:val="00DB2F47"/>
    <w:rsid w:val="00DB50B1"/>
    <w:rsid w:val="00DB7689"/>
    <w:rsid w:val="00DC3003"/>
    <w:rsid w:val="00DC3DCA"/>
    <w:rsid w:val="00DC3DDB"/>
    <w:rsid w:val="00DC4C93"/>
    <w:rsid w:val="00DD3491"/>
    <w:rsid w:val="00DD34EF"/>
    <w:rsid w:val="00DE22A9"/>
    <w:rsid w:val="00DE277F"/>
    <w:rsid w:val="00DE2BDD"/>
    <w:rsid w:val="00DE3104"/>
    <w:rsid w:val="00DE3DD2"/>
    <w:rsid w:val="00DE4BFD"/>
    <w:rsid w:val="00DE5DD8"/>
    <w:rsid w:val="00DF6B85"/>
    <w:rsid w:val="00E01EBD"/>
    <w:rsid w:val="00E03639"/>
    <w:rsid w:val="00E04BE6"/>
    <w:rsid w:val="00E07150"/>
    <w:rsid w:val="00E100A4"/>
    <w:rsid w:val="00E13959"/>
    <w:rsid w:val="00E20FC3"/>
    <w:rsid w:val="00E21D6D"/>
    <w:rsid w:val="00E21DC2"/>
    <w:rsid w:val="00E26788"/>
    <w:rsid w:val="00E279D9"/>
    <w:rsid w:val="00E35AB1"/>
    <w:rsid w:val="00E411A2"/>
    <w:rsid w:val="00E4145C"/>
    <w:rsid w:val="00E41FC7"/>
    <w:rsid w:val="00E43965"/>
    <w:rsid w:val="00E47EAB"/>
    <w:rsid w:val="00E52AAD"/>
    <w:rsid w:val="00E56690"/>
    <w:rsid w:val="00E64384"/>
    <w:rsid w:val="00E724A2"/>
    <w:rsid w:val="00E72AF7"/>
    <w:rsid w:val="00E779AC"/>
    <w:rsid w:val="00E80F85"/>
    <w:rsid w:val="00E81E65"/>
    <w:rsid w:val="00E82A2D"/>
    <w:rsid w:val="00E91333"/>
    <w:rsid w:val="00E928E9"/>
    <w:rsid w:val="00E96AB9"/>
    <w:rsid w:val="00E96C4B"/>
    <w:rsid w:val="00EA2D9E"/>
    <w:rsid w:val="00EA768A"/>
    <w:rsid w:val="00EB1DAA"/>
    <w:rsid w:val="00EB3D90"/>
    <w:rsid w:val="00EB4F6F"/>
    <w:rsid w:val="00EB4F8C"/>
    <w:rsid w:val="00EB769A"/>
    <w:rsid w:val="00EC1A8B"/>
    <w:rsid w:val="00EC46E0"/>
    <w:rsid w:val="00EC59E1"/>
    <w:rsid w:val="00EC6E89"/>
    <w:rsid w:val="00EC6F4A"/>
    <w:rsid w:val="00ED13C3"/>
    <w:rsid w:val="00ED5AA2"/>
    <w:rsid w:val="00ED6C8F"/>
    <w:rsid w:val="00EE6124"/>
    <w:rsid w:val="00EE6513"/>
    <w:rsid w:val="00EF3D1B"/>
    <w:rsid w:val="00F021E7"/>
    <w:rsid w:val="00F02482"/>
    <w:rsid w:val="00F046EB"/>
    <w:rsid w:val="00F10F6E"/>
    <w:rsid w:val="00F142D5"/>
    <w:rsid w:val="00F146FA"/>
    <w:rsid w:val="00F21CAC"/>
    <w:rsid w:val="00F23D34"/>
    <w:rsid w:val="00F252DA"/>
    <w:rsid w:val="00F262E3"/>
    <w:rsid w:val="00F301D1"/>
    <w:rsid w:val="00F31526"/>
    <w:rsid w:val="00F31E1C"/>
    <w:rsid w:val="00F3352F"/>
    <w:rsid w:val="00F37499"/>
    <w:rsid w:val="00F4043F"/>
    <w:rsid w:val="00F4097D"/>
    <w:rsid w:val="00F433A6"/>
    <w:rsid w:val="00F4600D"/>
    <w:rsid w:val="00F462FD"/>
    <w:rsid w:val="00F465F5"/>
    <w:rsid w:val="00F46934"/>
    <w:rsid w:val="00F50DD9"/>
    <w:rsid w:val="00F56355"/>
    <w:rsid w:val="00F60065"/>
    <w:rsid w:val="00F604CE"/>
    <w:rsid w:val="00F6179E"/>
    <w:rsid w:val="00F61C5C"/>
    <w:rsid w:val="00F622AB"/>
    <w:rsid w:val="00F66A9C"/>
    <w:rsid w:val="00F71386"/>
    <w:rsid w:val="00F728F9"/>
    <w:rsid w:val="00F73A57"/>
    <w:rsid w:val="00F73F2A"/>
    <w:rsid w:val="00F741DD"/>
    <w:rsid w:val="00F76CF6"/>
    <w:rsid w:val="00F80696"/>
    <w:rsid w:val="00F8394B"/>
    <w:rsid w:val="00F83AC4"/>
    <w:rsid w:val="00F87940"/>
    <w:rsid w:val="00F908AB"/>
    <w:rsid w:val="00F92B43"/>
    <w:rsid w:val="00F93852"/>
    <w:rsid w:val="00F93EE4"/>
    <w:rsid w:val="00FA391B"/>
    <w:rsid w:val="00FB2042"/>
    <w:rsid w:val="00FB2D7A"/>
    <w:rsid w:val="00FB7B54"/>
    <w:rsid w:val="00FD41C6"/>
    <w:rsid w:val="00FD4E81"/>
    <w:rsid w:val="00FD6D7D"/>
    <w:rsid w:val="00FD724E"/>
    <w:rsid w:val="00FE093B"/>
    <w:rsid w:val="00FE3282"/>
    <w:rsid w:val="00FE6221"/>
    <w:rsid w:val="00FE675F"/>
    <w:rsid w:val="00FE6E96"/>
    <w:rsid w:val="00FF15C8"/>
    <w:rsid w:val="00FF78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E35D7"/>
  <w15:docId w15:val="{DAFB41A2-90F0-4F22-90BD-396432DE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577E"/>
    <w:pPr>
      <w:spacing w:after="0" w:line="240" w:lineRule="auto"/>
    </w:pPr>
    <w:rPr>
      <w:rFonts w:ascii="Arial" w:hAnsi="Arial" w:cs="Arial"/>
      <w:b/>
      <w:bCs/>
      <w:color w:val="000000"/>
      <w:sz w:val="20"/>
      <w:szCs w:val="20"/>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05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0577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0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7E"/>
    <w:rPr>
      <w:rFonts w:ascii="Tahoma" w:hAnsi="Tahoma" w:cs="Tahoma"/>
      <w:sz w:val="16"/>
      <w:szCs w:val="16"/>
    </w:rPr>
  </w:style>
  <w:style w:type="paragraph" w:styleId="ListParagraph">
    <w:name w:val="List Paragraph"/>
    <w:basedOn w:val="Normal"/>
    <w:uiPriority w:val="34"/>
    <w:qFormat/>
    <w:rsid w:val="0060577E"/>
    <w:pPr>
      <w:ind w:left="720"/>
      <w:contextualSpacing/>
    </w:pPr>
  </w:style>
  <w:style w:type="paragraph" w:styleId="Header">
    <w:name w:val="header"/>
    <w:basedOn w:val="Normal"/>
    <w:link w:val="HeaderChar"/>
    <w:uiPriority w:val="99"/>
    <w:unhideWhenUsed/>
    <w:rsid w:val="0074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D3"/>
  </w:style>
  <w:style w:type="paragraph" w:styleId="BodyText2">
    <w:name w:val="Body Text 2"/>
    <w:basedOn w:val="Normal"/>
    <w:link w:val="BodyText2Char"/>
    <w:rsid w:val="00BE10B7"/>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E10B7"/>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2A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2A62E2"/>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5987">
      <w:bodyDiv w:val="1"/>
      <w:marLeft w:val="0"/>
      <w:marRight w:val="0"/>
      <w:marTop w:val="0"/>
      <w:marBottom w:val="0"/>
      <w:divBdr>
        <w:top w:val="none" w:sz="0" w:space="0" w:color="auto"/>
        <w:left w:val="none" w:sz="0" w:space="0" w:color="auto"/>
        <w:bottom w:val="none" w:sz="0" w:space="0" w:color="auto"/>
        <w:right w:val="none" w:sz="0" w:space="0" w:color="auto"/>
      </w:divBdr>
    </w:div>
    <w:div w:id="623581521">
      <w:bodyDiv w:val="1"/>
      <w:marLeft w:val="0"/>
      <w:marRight w:val="0"/>
      <w:marTop w:val="0"/>
      <w:marBottom w:val="0"/>
      <w:divBdr>
        <w:top w:val="none" w:sz="0" w:space="0" w:color="auto"/>
        <w:left w:val="none" w:sz="0" w:space="0" w:color="auto"/>
        <w:bottom w:val="none" w:sz="0" w:space="0" w:color="auto"/>
        <w:right w:val="none" w:sz="0" w:space="0" w:color="auto"/>
      </w:divBdr>
    </w:div>
    <w:div w:id="1136214281">
      <w:bodyDiv w:val="1"/>
      <w:marLeft w:val="0"/>
      <w:marRight w:val="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 w:id="1202523362">
      <w:bodyDiv w:val="1"/>
      <w:marLeft w:val="0"/>
      <w:marRight w:val="0"/>
      <w:marTop w:val="0"/>
      <w:marBottom w:val="0"/>
      <w:divBdr>
        <w:top w:val="none" w:sz="0" w:space="0" w:color="auto"/>
        <w:left w:val="none" w:sz="0" w:space="0" w:color="auto"/>
        <w:bottom w:val="none" w:sz="0" w:space="0" w:color="auto"/>
        <w:right w:val="none" w:sz="0" w:space="0" w:color="auto"/>
      </w:divBdr>
    </w:div>
    <w:div w:id="1905485030">
      <w:bodyDiv w:val="1"/>
      <w:marLeft w:val="0"/>
      <w:marRight w:val="0"/>
      <w:marTop w:val="0"/>
      <w:marBottom w:val="0"/>
      <w:divBdr>
        <w:top w:val="none" w:sz="0" w:space="0" w:color="auto"/>
        <w:left w:val="none" w:sz="0" w:space="0" w:color="auto"/>
        <w:bottom w:val="none" w:sz="0" w:space="0" w:color="auto"/>
        <w:right w:val="none" w:sz="0" w:space="0" w:color="auto"/>
      </w:divBdr>
    </w:div>
    <w:div w:id="1987199135">
      <w:bodyDiv w:val="1"/>
      <w:marLeft w:val="0"/>
      <w:marRight w:val="0"/>
      <w:marTop w:val="0"/>
      <w:marBottom w:val="0"/>
      <w:divBdr>
        <w:top w:val="none" w:sz="0" w:space="0" w:color="auto"/>
        <w:left w:val="none" w:sz="0" w:space="0" w:color="auto"/>
        <w:bottom w:val="none" w:sz="0" w:space="0" w:color="auto"/>
        <w:right w:val="none" w:sz="0" w:space="0" w:color="auto"/>
      </w:divBdr>
      <w:divsChild>
        <w:div w:id="1823427461">
          <w:marLeft w:val="450"/>
          <w:marRight w:val="0"/>
          <w:marTop w:val="0"/>
          <w:marBottom w:val="0"/>
          <w:divBdr>
            <w:top w:val="none" w:sz="0" w:space="0" w:color="auto"/>
            <w:left w:val="none" w:sz="0" w:space="0" w:color="auto"/>
            <w:bottom w:val="none" w:sz="0" w:space="0" w:color="auto"/>
            <w:right w:val="none" w:sz="0" w:space="0" w:color="auto"/>
          </w:divBdr>
          <w:divsChild>
            <w:div w:id="1610967227">
              <w:marLeft w:val="0"/>
              <w:marRight w:val="0"/>
              <w:marTop w:val="0"/>
              <w:marBottom w:val="0"/>
              <w:divBdr>
                <w:top w:val="none" w:sz="0" w:space="0" w:color="auto"/>
                <w:left w:val="none" w:sz="0" w:space="0" w:color="auto"/>
                <w:bottom w:val="none" w:sz="0" w:space="0" w:color="auto"/>
                <w:right w:val="none" w:sz="0" w:space="0" w:color="auto"/>
              </w:divBdr>
              <w:divsChild>
                <w:div w:id="216623310">
                  <w:marLeft w:val="0"/>
                  <w:marRight w:val="0"/>
                  <w:marTop w:val="0"/>
                  <w:marBottom w:val="0"/>
                  <w:divBdr>
                    <w:top w:val="none" w:sz="0" w:space="0" w:color="auto"/>
                    <w:left w:val="none" w:sz="0" w:space="0" w:color="auto"/>
                    <w:bottom w:val="none" w:sz="0" w:space="0" w:color="auto"/>
                    <w:right w:val="none" w:sz="0" w:space="0" w:color="auto"/>
                  </w:divBdr>
                  <w:divsChild>
                    <w:div w:id="734933419">
                      <w:marLeft w:val="0"/>
                      <w:marRight w:val="0"/>
                      <w:marTop w:val="0"/>
                      <w:marBottom w:val="0"/>
                      <w:divBdr>
                        <w:top w:val="none" w:sz="0" w:space="0" w:color="auto"/>
                        <w:left w:val="none" w:sz="0" w:space="0" w:color="auto"/>
                        <w:bottom w:val="none" w:sz="0" w:space="0" w:color="auto"/>
                        <w:right w:val="none" w:sz="0" w:space="0" w:color="auto"/>
                      </w:divBdr>
                      <w:divsChild>
                        <w:div w:id="167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8239">
          <w:marLeft w:val="450"/>
          <w:marRight w:val="0"/>
          <w:marTop w:val="0"/>
          <w:marBottom w:val="0"/>
          <w:divBdr>
            <w:top w:val="none" w:sz="0" w:space="0" w:color="auto"/>
            <w:left w:val="none" w:sz="0" w:space="0" w:color="auto"/>
            <w:bottom w:val="none" w:sz="0" w:space="0" w:color="auto"/>
            <w:right w:val="none" w:sz="0" w:space="0" w:color="auto"/>
          </w:divBdr>
          <w:divsChild>
            <w:div w:id="1117142371">
              <w:marLeft w:val="0"/>
              <w:marRight w:val="0"/>
              <w:marTop w:val="0"/>
              <w:marBottom w:val="0"/>
              <w:divBdr>
                <w:top w:val="none" w:sz="0" w:space="0" w:color="auto"/>
                <w:left w:val="none" w:sz="0" w:space="0" w:color="auto"/>
                <w:bottom w:val="none" w:sz="0" w:space="0" w:color="auto"/>
                <w:right w:val="none" w:sz="0" w:space="0" w:color="auto"/>
              </w:divBdr>
              <w:divsChild>
                <w:div w:id="904487321">
                  <w:marLeft w:val="0"/>
                  <w:marRight w:val="0"/>
                  <w:marTop w:val="0"/>
                  <w:marBottom w:val="0"/>
                  <w:divBdr>
                    <w:top w:val="none" w:sz="0" w:space="0" w:color="auto"/>
                    <w:left w:val="none" w:sz="0" w:space="0" w:color="auto"/>
                    <w:bottom w:val="none" w:sz="0" w:space="0" w:color="auto"/>
                    <w:right w:val="none" w:sz="0" w:space="0" w:color="auto"/>
                  </w:divBdr>
                  <w:divsChild>
                    <w:div w:id="701589372">
                      <w:marLeft w:val="0"/>
                      <w:marRight w:val="0"/>
                      <w:marTop w:val="0"/>
                      <w:marBottom w:val="0"/>
                      <w:divBdr>
                        <w:top w:val="none" w:sz="0" w:space="0" w:color="auto"/>
                        <w:left w:val="none" w:sz="0" w:space="0" w:color="auto"/>
                        <w:bottom w:val="none" w:sz="0" w:space="0" w:color="auto"/>
                        <w:right w:val="none" w:sz="0" w:space="0" w:color="auto"/>
                      </w:divBdr>
                      <w:divsChild>
                        <w:div w:id="12594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09306">
          <w:marLeft w:val="450"/>
          <w:marRight w:val="0"/>
          <w:marTop w:val="0"/>
          <w:marBottom w:val="0"/>
          <w:divBdr>
            <w:top w:val="none" w:sz="0" w:space="0" w:color="auto"/>
            <w:left w:val="none" w:sz="0" w:space="0" w:color="auto"/>
            <w:bottom w:val="none" w:sz="0" w:space="0" w:color="auto"/>
            <w:right w:val="none" w:sz="0" w:space="0" w:color="auto"/>
          </w:divBdr>
          <w:divsChild>
            <w:div w:id="344940667">
              <w:marLeft w:val="0"/>
              <w:marRight w:val="0"/>
              <w:marTop w:val="0"/>
              <w:marBottom w:val="0"/>
              <w:divBdr>
                <w:top w:val="none" w:sz="0" w:space="0" w:color="auto"/>
                <w:left w:val="none" w:sz="0" w:space="0" w:color="auto"/>
                <w:bottom w:val="none" w:sz="0" w:space="0" w:color="auto"/>
                <w:right w:val="none" w:sz="0" w:space="0" w:color="auto"/>
              </w:divBdr>
              <w:divsChild>
                <w:div w:id="462577694">
                  <w:marLeft w:val="0"/>
                  <w:marRight w:val="0"/>
                  <w:marTop w:val="0"/>
                  <w:marBottom w:val="0"/>
                  <w:divBdr>
                    <w:top w:val="none" w:sz="0" w:space="0" w:color="auto"/>
                    <w:left w:val="none" w:sz="0" w:space="0" w:color="auto"/>
                    <w:bottom w:val="none" w:sz="0" w:space="0" w:color="auto"/>
                    <w:right w:val="none" w:sz="0" w:space="0" w:color="auto"/>
                  </w:divBdr>
                  <w:divsChild>
                    <w:div w:id="901405977">
                      <w:marLeft w:val="0"/>
                      <w:marRight w:val="0"/>
                      <w:marTop w:val="0"/>
                      <w:marBottom w:val="0"/>
                      <w:divBdr>
                        <w:top w:val="none" w:sz="0" w:space="0" w:color="auto"/>
                        <w:left w:val="none" w:sz="0" w:space="0" w:color="auto"/>
                        <w:bottom w:val="none" w:sz="0" w:space="0" w:color="auto"/>
                        <w:right w:val="none" w:sz="0" w:space="0" w:color="auto"/>
                      </w:divBdr>
                      <w:divsChild>
                        <w:div w:id="6263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6899">
          <w:marLeft w:val="450"/>
          <w:marRight w:val="0"/>
          <w:marTop w:val="0"/>
          <w:marBottom w:val="0"/>
          <w:divBdr>
            <w:top w:val="none" w:sz="0" w:space="0" w:color="auto"/>
            <w:left w:val="none" w:sz="0" w:space="0" w:color="auto"/>
            <w:bottom w:val="none" w:sz="0" w:space="0" w:color="auto"/>
            <w:right w:val="none" w:sz="0" w:space="0" w:color="auto"/>
          </w:divBdr>
          <w:divsChild>
            <w:div w:id="595207827">
              <w:marLeft w:val="0"/>
              <w:marRight w:val="0"/>
              <w:marTop w:val="0"/>
              <w:marBottom w:val="0"/>
              <w:divBdr>
                <w:top w:val="none" w:sz="0" w:space="0" w:color="auto"/>
                <w:left w:val="none" w:sz="0" w:space="0" w:color="auto"/>
                <w:bottom w:val="none" w:sz="0" w:space="0" w:color="auto"/>
                <w:right w:val="none" w:sz="0" w:space="0" w:color="auto"/>
              </w:divBdr>
              <w:divsChild>
                <w:div w:id="866017114">
                  <w:marLeft w:val="0"/>
                  <w:marRight w:val="0"/>
                  <w:marTop w:val="0"/>
                  <w:marBottom w:val="0"/>
                  <w:divBdr>
                    <w:top w:val="none" w:sz="0" w:space="0" w:color="auto"/>
                    <w:left w:val="none" w:sz="0" w:space="0" w:color="auto"/>
                    <w:bottom w:val="none" w:sz="0" w:space="0" w:color="auto"/>
                    <w:right w:val="none" w:sz="0" w:space="0" w:color="auto"/>
                  </w:divBdr>
                  <w:divsChild>
                    <w:div w:id="1388452610">
                      <w:marLeft w:val="0"/>
                      <w:marRight w:val="0"/>
                      <w:marTop w:val="0"/>
                      <w:marBottom w:val="0"/>
                      <w:divBdr>
                        <w:top w:val="none" w:sz="0" w:space="0" w:color="auto"/>
                        <w:left w:val="none" w:sz="0" w:space="0" w:color="auto"/>
                        <w:bottom w:val="none" w:sz="0" w:space="0" w:color="auto"/>
                        <w:right w:val="none" w:sz="0" w:space="0" w:color="auto"/>
                      </w:divBdr>
                      <w:divsChild>
                        <w:div w:id="7717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08279">
          <w:marLeft w:val="0"/>
          <w:marRight w:val="0"/>
          <w:marTop w:val="0"/>
          <w:marBottom w:val="0"/>
          <w:divBdr>
            <w:top w:val="none" w:sz="0" w:space="0" w:color="auto"/>
            <w:left w:val="none" w:sz="0" w:space="0" w:color="auto"/>
            <w:bottom w:val="none" w:sz="0" w:space="0" w:color="auto"/>
            <w:right w:val="none" w:sz="0" w:space="0" w:color="auto"/>
          </w:divBdr>
          <w:divsChild>
            <w:div w:id="1592933859">
              <w:marLeft w:val="0"/>
              <w:marRight w:val="0"/>
              <w:marTop w:val="0"/>
              <w:marBottom w:val="0"/>
              <w:divBdr>
                <w:top w:val="none" w:sz="0" w:space="0" w:color="auto"/>
                <w:left w:val="none" w:sz="0" w:space="0" w:color="auto"/>
                <w:bottom w:val="none" w:sz="0" w:space="0" w:color="auto"/>
                <w:right w:val="none" w:sz="0" w:space="0" w:color="auto"/>
              </w:divBdr>
            </w:div>
          </w:divsChild>
        </w:div>
        <w:div w:id="930890087">
          <w:marLeft w:val="450"/>
          <w:marRight w:val="0"/>
          <w:marTop w:val="0"/>
          <w:marBottom w:val="0"/>
          <w:divBdr>
            <w:top w:val="none" w:sz="0" w:space="0" w:color="auto"/>
            <w:left w:val="none" w:sz="0" w:space="0" w:color="auto"/>
            <w:bottom w:val="none" w:sz="0" w:space="0" w:color="auto"/>
            <w:right w:val="none" w:sz="0" w:space="0" w:color="auto"/>
          </w:divBdr>
          <w:divsChild>
            <w:div w:id="1129670258">
              <w:marLeft w:val="0"/>
              <w:marRight w:val="0"/>
              <w:marTop w:val="0"/>
              <w:marBottom w:val="0"/>
              <w:divBdr>
                <w:top w:val="none" w:sz="0" w:space="0" w:color="auto"/>
                <w:left w:val="none" w:sz="0" w:space="0" w:color="auto"/>
                <w:bottom w:val="none" w:sz="0" w:space="0" w:color="auto"/>
                <w:right w:val="none" w:sz="0" w:space="0" w:color="auto"/>
              </w:divBdr>
              <w:divsChild>
                <w:div w:id="874347961">
                  <w:marLeft w:val="0"/>
                  <w:marRight w:val="0"/>
                  <w:marTop w:val="0"/>
                  <w:marBottom w:val="0"/>
                  <w:divBdr>
                    <w:top w:val="none" w:sz="0" w:space="0" w:color="auto"/>
                    <w:left w:val="none" w:sz="0" w:space="0" w:color="auto"/>
                    <w:bottom w:val="none" w:sz="0" w:space="0" w:color="auto"/>
                    <w:right w:val="none" w:sz="0" w:space="0" w:color="auto"/>
                  </w:divBdr>
                  <w:divsChild>
                    <w:div w:id="11524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3244">
          <w:marLeft w:val="450"/>
          <w:marRight w:val="0"/>
          <w:marTop w:val="0"/>
          <w:marBottom w:val="0"/>
          <w:divBdr>
            <w:top w:val="none" w:sz="0" w:space="0" w:color="auto"/>
            <w:left w:val="none" w:sz="0" w:space="0" w:color="auto"/>
            <w:bottom w:val="none" w:sz="0" w:space="0" w:color="auto"/>
            <w:right w:val="none" w:sz="0" w:space="0" w:color="auto"/>
          </w:divBdr>
          <w:divsChild>
            <w:div w:id="327027532">
              <w:marLeft w:val="0"/>
              <w:marRight w:val="0"/>
              <w:marTop w:val="0"/>
              <w:marBottom w:val="0"/>
              <w:divBdr>
                <w:top w:val="none" w:sz="0" w:space="0" w:color="auto"/>
                <w:left w:val="none" w:sz="0" w:space="0" w:color="auto"/>
                <w:bottom w:val="none" w:sz="0" w:space="0" w:color="auto"/>
                <w:right w:val="none" w:sz="0" w:space="0" w:color="auto"/>
              </w:divBdr>
              <w:divsChild>
                <w:div w:id="1036000819">
                  <w:marLeft w:val="0"/>
                  <w:marRight w:val="0"/>
                  <w:marTop w:val="0"/>
                  <w:marBottom w:val="0"/>
                  <w:divBdr>
                    <w:top w:val="none" w:sz="0" w:space="0" w:color="auto"/>
                    <w:left w:val="none" w:sz="0" w:space="0" w:color="auto"/>
                    <w:bottom w:val="none" w:sz="0" w:space="0" w:color="auto"/>
                    <w:right w:val="none" w:sz="0" w:space="0" w:color="auto"/>
                  </w:divBdr>
                  <w:divsChild>
                    <w:div w:id="7187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2511</Words>
  <Characters>15217</Characters>
  <Application>Microsoft Office Word</Application>
  <DocSecurity>0</DocSecurity>
  <Lines>563</Lines>
  <Paragraphs>479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Daniel Thompson</cp:lastModifiedBy>
  <cp:revision>3</cp:revision>
  <cp:lastPrinted>2023-12-26T18:06:00Z</cp:lastPrinted>
  <dcterms:created xsi:type="dcterms:W3CDTF">2025-07-12T23:27:00Z</dcterms:created>
  <dcterms:modified xsi:type="dcterms:W3CDTF">2025-07-16T16:22:00Z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9eeaeb32964d86e3079a6f3b94da5c63d6bb8929046f1a7e540d5086e418c2c4</vt:lpwstr>
  </property>
</Properties>
</file>