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5C13" w14:textId="5A8A78B6" w:rsidR="0060577E" w:rsidRPr="0060577E" w:rsidRDefault="004B42FC" w:rsidP="0060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ourseOutline"/>
      <w:r>
        <w:rPr>
          <w:noProof/>
        </w:rPr>
        <w:drawing>
          <wp:inline distT="0" distB="0" distL="0" distR="0" wp14:anchorId="0D45D256" wp14:editId="4AA2D627">
            <wp:extent cx="4733925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</w:tblGrid>
      <w:tr w:rsidR="0060577E" w:rsidRPr="003B4D4A" w14:paraId="065A443C" w14:textId="77777777" w:rsidTr="001F128B">
        <w:trPr>
          <w:cantSplit/>
          <w:trHeight w:val="927"/>
          <w:jc w:val="center"/>
        </w:trPr>
        <w:tc>
          <w:tcPr>
            <w:tcW w:w="6120" w:type="dxa"/>
          </w:tcPr>
          <w:p w14:paraId="07EF3962" w14:textId="77777777" w:rsidR="0060577E" w:rsidRPr="00CA282C" w:rsidRDefault="0060577E" w:rsidP="0060577E">
            <w:pPr>
              <w:widowControl w:val="0"/>
              <w:pBdr>
                <w:bottom w:val="single" w:sz="12" w:space="1" w:color="000000"/>
              </w:pBdr>
              <w:tabs>
                <w:tab w:val="left" w:pos="473"/>
                <w:tab w:val="center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B4D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Pr="003B4D4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Pr="00CA2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Course Outline</w:t>
            </w:r>
          </w:p>
          <w:p w14:paraId="7F7912D4" w14:textId="49284978" w:rsidR="00950DBE" w:rsidRDefault="00B55D86" w:rsidP="0029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Department of Accounting</w:t>
            </w:r>
            <w:r w:rsidR="004B42FC"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Finance</w:t>
            </w:r>
            <w:r w:rsidR="00687BAB"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r w:rsidR="004B42FC">
              <w:rPr>
                <w:rFonts w:eastAsia="Times New Roman" w:cs="Times New Roman"/>
                <w:b/>
                <w:sz w:val="28"/>
                <w:szCs w:val="28"/>
              </w:rPr>
              <w:t>and Law</w:t>
            </w:r>
          </w:p>
          <w:p w14:paraId="62D451FD" w14:textId="30A30BDC" w:rsidR="0060577E" w:rsidRPr="00950DBE" w:rsidRDefault="004B42FC" w:rsidP="0095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Bob Gaglardi </w:t>
            </w:r>
            <w:r w:rsidR="00B55D86">
              <w:rPr>
                <w:rFonts w:eastAsia="Times New Roman" w:cs="Times New Roman"/>
                <w:b/>
                <w:sz w:val="28"/>
                <w:szCs w:val="28"/>
              </w:rPr>
              <w:t>School of Business and Economics</w:t>
            </w:r>
          </w:p>
        </w:tc>
      </w:tr>
    </w:tbl>
    <w:p w14:paraId="4FF865CC" w14:textId="77777777" w:rsidR="0060577E" w:rsidRPr="00177252" w:rsidRDefault="0060577E" w:rsidP="0017725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07661F33" w14:textId="1B92D241" w:rsidR="0060577E" w:rsidRPr="003B4D4A" w:rsidRDefault="00196E9D" w:rsidP="0060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B4D4A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4B42FC">
        <w:rPr>
          <w:rFonts w:eastAsia="Times New Roman" w:cs="Times New Roman"/>
          <w:b/>
          <w:bCs/>
          <w:color w:val="000000"/>
          <w:sz w:val="28"/>
          <w:szCs w:val="28"/>
        </w:rPr>
        <w:t>BUSN 62</w:t>
      </w:r>
      <w:r w:rsidR="00C511F5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4B42FC">
        <w:rPr>
          <w:rFonts w:eastAsia="Times New Roman" w:cs="Times New Roman"/>
          <w:b/>
          <w:bCs/>
          <w:color w:val="000000"/>
          <w:sz w:val="28"/>
          <w:szCs w:val="28"/>
        </w:rPr>
        <w:t>0-3 (3,0,0)</w:t>
      </w:r>
    </w:p>
    <w:p w14:paraId="73C7A411" w14:textId="2FE37278" w:rsidR="0060577E" w:rsidRPr="003B4D4A" w:rsidRDefault="00C511F5" w:rsidP="0060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Advanced </w:t>
      </w:r>
      <w:r w:rsidR="004B42FC">
        <w:rPr>
          <w:rFonts w:eastAsia="Times New Roman" w:cs="Times New Roman"/>
          <w:b/>
          <w:bCs/>
          <w:color w:val="000000"/>
          <w:sz w:val="28"/>
          <w:szCs w:val="28"/>
        </w:rPr>
        <w:t>Corporate Finance</w:t>
      </w:r>
    </w:p>
    <w:p w14:paraId="4E0D90BB" w14:textId="77777777" w:rsidR="0060577E" w:rsidRPr="003B4D4A" w:rsidRDefault="0060577E" w:rsidP="00BA38C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79762235" w14:textId="77777777" w:rsidR="0060577E" w:rsidRDefault="00221DE5" w:rsidP="00950DB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3B4D4A">
        <w:rPr>
          <w:rFonts w:eastAsia="Times New Roman" w:cs="Times New Roman"/>
          <w:b/>
          <w:bCs/>
          <w:sz w:val="28"/>
          <w:szCs w:val="28"/>
        </w:rPr>
        <w:t>Calendar Description</w:t>
      </w:r>
    </w:p>
    <w:p w14:paraId="440B4802" w14:textId="77777777" w:rsidR="00950DBE" w:rsidRPr="0026251C" w:rsidRDefault="00950DBE" w:rsidP="00950DB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60577E" w:rsidRPr="003B4D4A" w14:paraId="5E0F05A3" w14:textId="77777777" w:rsidTr="00CA5076">
        <w:tc>
          <w:tcPr>
            <w:tcW w:w="10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65F32" w14:textId="6221B699" w:rsidR="008A454B" w:rsidRPr="009735B2" w:rsidRDefault="00C511F5" w:rsidP="00617583">
            <w:pPr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7B38D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Building on BUSN 6020, students further develop their knowledge and skills in corporate financ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ial management</w:t>
            </w:r>
            <w:r w:rsidRPr="007B38D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 Topics include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corporate governance and executive compensation; p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ermanent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ebt and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quity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inancing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; w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orking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apital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anagement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; b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usiness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v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aluation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; m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ergers and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cquisitions and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orporate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estructuring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; b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ankruptcy,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iquidation,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and r</w:t>
            </w:r>
            <w:r w:rsidRPr="009735B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eorganization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; and</w:t>
            </w:r>
            <w:r w:rsidR="007D6E75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hedging financial risk using derivatives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</w:p>
        </w:tc>
      </w:tr>
    </w:tbl>
    <w:p w14:paraId="01581D74" w14:textId="77777777" w:rsidR="0060577E" w:rsidRPr="003B4D4A" w:rsidRDefault="0060577E" w:rsidP="006057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2C6E9973" w14:textId="77777777" w:rsidR="0060577E" w:rsidRDefault="0060577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B4D4A">
        <w:rPr>
          <w:rFonts w:eastAsia="Times New Roman" w:cs="Times New Roman"/>
          <w:b/>
          <w:bCs/>
          <w:color w:val="000000"/>
          <w:sz w:val="28"/>
          <w:szCs w:val="28"/>
        </w:rPr>
        <w:t>Educational Objectives/Outcomes</w:t>
      </w:r>
    </w:p>
    <w:p w14:paraId="2A018DFF" w14:textId="77777777" w:rsidR="00950DBE" w:rsidRPr="0026251C" w:rsidRDefault="00950DB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577E" w:rsidRPr="003B4D4A" w14:paraId="562ED28B" w14:textId="77777777" w:rsidTr="00CA5076">
        <w:tc>
          <w:tcPr>
            <w:tcW w:w="10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7482B" w14:textId="3ED2A127" w:rsidR="00EE254C" w:rsidRDefault="00EE254C" w:rsidP="00EE254C">
            <w:pPr>
              <w:tabs>
                <w:tab w:val="left" w:pos="0"/>
              </w:tabs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 w:rsidRPr="006721C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Upon completion of this course, students will be able to:</w:t>
            </w:r>
          </w:p>
          <w:p w14:paraId="26F1E23B" w14:textId="77777777" w:rsidR="00B32C27" w:rsidRPr="00B32C27" w:rsidRDefault="00B32C27" w:rsidP="00B32C27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</w:p>
          <w:p w14:paraId="2880C129" w14:textId="77777777" w:rsidR="00B32C27" w:rsidRPr="00B32C27" w:rsidRDefault="00B32C27" w:rsidP="00FE254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420" w:hanging="45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Evaluate an organization’s corporate governance and executive compensation systems.</w:t>
            </w:r>
          </w:p>
          <w:p w14:paraId="6E7EFF8F" w14:textId="1780A5B4" w:rsidR="00B32C27" w:rsidRPr="00B32C27" w:rsidRDefault="00B32C27" w:rsidP="00FE254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420" w:hanging="45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Analyze different sources of </w:t>
            </w:r>
            <w:r w:rsidR="00D40AEA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permanent </w:t>
            </w: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debt and equity financing. </w:t>
            </w:r>
          </w:p>
          <w:p w14:paraId="54F398BE" w14:textId="540CCA33" w:rsidR="00B32C27" w:rsidRPr="00D40AEA" w:rsidRDefault="00D40AEA" w:rsidP="00D40AE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420" w:hanging="45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Manage an organization’s operating assets and liabilities</w:t>
            </w:r>
            <w:r w:rsidR="005D68E9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including temporary financing.</w:t>
            </w:r>
          </w:p>
          <w:p w14:paraId="203799C7" w14:textId="7C6F8AA9" w:rsidR="00B32C27" w:rsidRPr="00B32C27" w:rsidRDefault="00B32C27" w:rsidP="00FE254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420" w:hanging="45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Value a business using income-based</w:t>
            </w:r>
            <w:r w:rsidR="006542B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, market-multiple and asset-based </w:t>
            </w: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approach</w:t>
            </w:r>
            <w:r w:rsidR="006542B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</w:t>
            </w: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. </w:t>
            </w:r>
          </w:p>
          <w:p w14:paraId="47950DA3" w14:textId="0B13534C" w:rsidR="00B32C27" w:rsidRPr="00B32C27" w:rsidRDefault="00B32C27" w:rsidP="00FE254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420" w:hanging="45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Recommend an appropriate takeover bid for a business and suitable takeover defen</w:t>
            </w:r>
            <w:r w:rsidR="00AE381B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</w:t>
            </w: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es. </w:t>
            </w:r>
          </w:p>
          <w:p w14:paraId="3C38F245" w14:textId="7003A833" w:rsidR="00B32C27" w:rsidRPr="00B32C27" w:rsidRDefault="00B32C27" w:rsidP="00FE254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420" w:hanging="45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Explain the rationale for</w:t>
            </w:r>
            <w:r w:rsidR="00D40AEA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divestitures and other</w:t>
            </w: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forms of corporate restructuring. </w:t>
            </w:r>
          </w:p>
          <w:p w14:paraId="6FB3028D" w14:textId="7CD22BF6" w:rsidR="00B32C27" w:rsidRPr="00B32C27" w:rsidRDefault="00B32C27" w:rsidP="00FE254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420" w:hanging="45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Develop a plan to liquidate or reorganize a business experiencing financial di</w:t>
            </w:r>
            <w:r w:rsidR="00D40AEA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stress</w:t>
            </w: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</w:p>
          <w:p w14:paraId="1C99DFE3" w14:textId="169BF074" w:rsidR="00BE71AB" w:rsidRPr="00BE71AB" w:rsidRDefault="00B32C27" w:rsidP="00FE254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420" w:hanging="45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Demonstrate appropriate hedging strategies for different </w:t>
            </w:r>
            <w:r w:rsidR="007A29F0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business</w:t>
            </w:r>
            <w:r w:rsidRPr="00B32C2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risks.</w:t>
            </w:r>
          </w:p>
        </w:tc>
      </w:tr>
    </w:tbl>
    <w:p w14:paraId="4ED94C7B" w14:textId="77777777" w:rsidR="009F7325" w:rsidRPr="0026251C" w:rsidRDefault="009F7325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A343DB8" w14:textId="541BF02A" w:rsidR="00997C00" w:rsidRDefault="0060577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B4D4A">
        <w:rPr>
          <w:rFonts w:eastAsia="Times New Roman" w:cs="Times New Roman"/>
          <w:b/>
          <w:bCs/>
          <w:color w:val="000000"/>
          <w:sz w:val="28"/>
          <w:szCs w:val="28"/>
        </w:rPr>
        <w:t>Prerequisites</w:t>
      </w:r>
    </w:p>
    <w:p w14:paraId="0066CD62" w14:textId="77777777" w:rsidR="00465B7E" w:rsidRPr="0026251C" w:rsidRDefault="00465B7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577E" w:rsidRPr="003B4D4A" w14:paraId="21CC7CBD" w14:textId="77777777" w:rsidTr="00CA5076">
        <w:tc>
          <w:tcPr>
            <w:tcW w:w="10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A4A2D" w14:textId="7CF6109D" w:rsidR="00025399" w:rsidRPr="003B4D4A" w:rsidRDefault="00B32C27" w:rsidP="00EE254C">
            <w:pPr>
              <w:rPr>
                <w:rFonts w:asciiTheme="minorHAnsi" w:hAnsiTheme="minorHAnsi" w:cs="Times New Roman"/>
                <w:b w:val="0"/>
                <w:sz w:val="24"/>
                <w:szCs w:val="24"/>
                <w:u w:val="none"/>
              </w:rPr>
            </w:pPr>
            <w:r w:rsidRPr="00065D2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BUSN 6020 Corporate Finance or equivalent</w:t>
            </w:r>
          </w:p>
        </w:tc>
      </w:tr>
    </w:tbl>
    <w:p w14:paraId="3CDA10B6" w14:textId="77777777" w:rsidR="0060577E" w:rsidRPr="003B4D4A" w:rsidRDefault="0060577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3018D31E" w14:textId="77777777" w:rsidR="00687BAB" w:rsidRDefault="00687BAB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3CB7560" w14:textId="77777777" w:rsidR="00687BAB" w:rsidRDefault="00687BAB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4BFFCD9" w14:textId="4367E510" w:rsidR="0060577E" w:rsidRDefault="0060577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B4D4A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Co-requisites</w:t>
      </w:r>
    </w:p>
    <w:p w14:paraId="2453C56F" w14:textId="77777777" w:rsidR="00950DBE" w:rsidRPr="00950DBE" w:rsidRDefault="00950DB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577E" w:rsidRPr="003B4D4A" w14:paraId="2B993643" w14:textId="77777777" w:rsidTr="00CA5076">
        <w:tc>
          <w:tcPr>
            <w:tcW w:w="10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9FA6F" w14:textId="3FFA51C3" w:rsidR="001C5031" w:rsidRPr="003B4D4A" w:rsidRDefault="002E65C9" w:rsidP="0060577E">
            <w:pPr>
              <w:keepLines/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eastAsia="Times New Roman" w:hAnsiTheme="minorHAnsi" w:cs="Times New Roman"/>
                <w:b w:val="0"/>
                <w:sz w:val="24"/>
                <w:szCs w:val="24"/>
                <w:u w:val="none"/>
              </w:rPr>
              <w:t>None</w:t>
            </w:r>
          </w:p>
        </w:tc>
      </w:tr>
    </w:tbl>
    <w:p w14:paraId="2FC37C30" w14:textId="77777777" w:rsidR="0060577E" w:rsidRPr="003B4D4A" w:rsidRDefault="0060577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797FFABA" w14:textId="77777777" w:rsidR="0060577E" w:rsidRDefault="0060577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B4D4A">
        <w:rPr>
          <w:rFonts w:eastAsia="Times New Roman" w:cs="Times New Roman"/>
          <w:b/>
          <w:bCs/>
          <w:color w:val="000000"/>
          <w:sz w:val="28"/>
          <w:szCs w:val="28"/>
        </w:rPr>
        <w:t>Texts/Materials</w:t>
      </w:r>
    </w:p>
    <w:p w14:paraId="3DC2A1BD" w14:textId="77777777" w:rsidR="00950DBE" w:rsidRPr="00950DBE" w:rsidRDefault="00950DB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577E" w:rsidRPr="003B4D4A" w14:paraId="62D1AA9A" w14:textId="77777777" w:rsidTr="00CA5076">
        <w:tc>
          <w:tcPr>
            <w:tcW w:w="10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4870BF" w14:textId="77777777" w:rsidR="00C51217" w:rsidRDefault="00C51217" w:rsidP="00C51217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Course</w:t>
            </w:r>
            <w:r w:rsidRPr="004D77EA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Modules</w:t>
            </w:r>
          </w:p>
          <w:p w14:paraId="2A7C1EFF" w14:textId="77777777" w:rsidR="00DE7572" w:rsidRPr="00FA391B" w:rsidRDefault="00DE7572" w:rsidP="00C51217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14:paraId="4A35B827" w14:textId="77777777" w:rsidR="00B55D86" w:rsidRDefault="00B3337E" w:rsidP="00B3337E">
            <w:pPr>
              <w:ind w:left="420" w:hanging="9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Corporate Governance and Executive Compensation</w:t>
            </w:r>
          </w:p>
          <w:p w14:paraId="75C9D5E3" w14:textId="77777777" w:rsidR="00B3337E" w:rsidRDefault="00B3337E" w:rsidP="00B3337E">
            <w:pPr>
              <w:ind w:left="420" w:hanging="9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Permanent Debt and Equity Financing</w:t>
            </w:r>
          </w:p>
          <w:p w14:paraId="1C3C36A1" w14:textId="77777777" w:rsidR="00B3337E" w:rsidRDefault="00B3337E" w:rsidP="00B3337E">
            <w:pPr>
              <w:ind w:left="420" w:hanging="9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Working Capital Management</w:t>
            </w:r>
          </w:p>
          <w:p w14:paraId="08F728CE" w14:textId="77777777" w:rsidR="00B3337E" w:rsidRDefault="00B3337E" w:rsidP="00B3337E">
            <w:pPr>
              <w:ind w:left="420" w:hanging="9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Business Valuation</w:t>
            </w:r>
          </w:p>
          <w:p w14:paraId="4C29A3D1" w14:textId="77777777" w:rsidR="00B3337E" w:rsidRDefault="00B3337E" w:rsidP="00B3337E">
            <w:pPr>
              <w:ind w:left="420" w:hanging="9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Mergers and Acquisitions and Corporate Restructuring</w:t>
            </w:r>
          </w:p>
          <w:p w14:paraId="53DF4FAB" w14:textId="77777777" w:rsidR="00B3337E" w:rsidRDefault="00B3337E" w:rsidP="00B3337E">
            <w:pPr>
              <w:ind w:left="420" w:hanging="9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Bankruptcy, Liquidation, Reorganization</w:t>
            </w:r>
          </w:p>
          <w:p w14:paraId="6EC3A65A" w14:textId="12070260" w:rsidR="00B3337E" w:rsidRPr="00A25127" w:rsidRDefault="00B3337E" w:rsidP="00B3337E">
            <w:pPr>
              <w:ind w:left="420" w:hanging="9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Hedging Financial Risks Using Derivatives</w:t>
            </w:r>
          </w:p>
        </w:tc>
      </w:tr>
    </w:tbl>
    <w:p w14:paraId="208AC2F8" w14:textId="77777777" w:rsidR="0060577E" w:rsidRPr="003B4D4A" w:rsidRDefault="0060577E" w:rsidP="006057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06666296" w14:textId="77777777" w:rsidR="0060577E" w:rsidRDefault="0060577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B4D4A">
        <w:rPr>
          <w:rFonts w:eastAsia="Times New Roman" w:cs="Times New Roman"/>
          <w:b/>
          <w:bCs/>
          <w:color w:val="000000"/>
          <w:sz w:val="28"/>
          <w:szCs w:val="28"/>
        </w:rPr>
        <w:t>Student Evaluation</w:t>
      </w:r>
    </w:p>
    <w:p w14:paraId="20E0DAB4" w14:textId="77777777" w:rsidR="00950DBE" w:rsidRPr="00950DBE" w:rsidRDefault="00950DB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577E" w:rsidRPr="003B4D4A" w14:paraId="54BF0F42" w14:textId="77777777" w:rsidTr="009735B2">
        <w:trPr>
          <w:trHeight w:val="298"/>
        </w:trPr>
        <w:tc>
          <w:tcPr>
            <w:tcW w:w="102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AAAB85" w14:textId="255822E3" w:rsidR="0049433C" w:rsidRDefault="008B6D95" w:rsidP="00637FA4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none"/>
                <w:lang w:val="en-CA" w:eastAsia="en-CA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The e</w:t>
            </w:r>
            <w:r w:rsidRPr="006721C8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valuation consists of:</w:t>
            </w:r>
          </w:p>
          <w:p w14:paraId="2C49B498" w14:textId="77777777" w:rsidR="00637FA4" w:rsidRPr="00637FA4" w:rsidRDefault="00637FA4" w:rsidP="00637FA4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none"/>
                <w:lang w:val="en-CA" w:eastAsia="en-CA"/>
              </w:rPr>
            </w:pPr>
          </w:p>
          <w:p w14:paraId="604B86AC" w14:textId="198DA3CE" w:rsidR="0049433C" w:rsidRPr="006314DE" w:rsidRDefault="0049433C" w:rsidP="0049433C">
            <w:pPr>
              <w:widowControl w:val="0"/>
              <w:shd w:val="clear" w:color="auto" w:fill="FFFFFF"/>
              <w:ind w:left="33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</w:pPr>
            <w:r w:rsidRPr="006314DE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Quizzes (</w:t>
            </w:r>
            <w:r w:rsidR="00637FA4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7</w:t>
            </w:r>
            <w:r w:rsidRPr="006314DE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 xml:space="preserve">) -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20</w:t>
            </w:r>
            <w:r w:rsidRPr="006314DE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%</w:t>
            </w:r>
          </w:p>
          <w:p w14:paraId="4C7A5105" w14:textId="77777777" w:rsidR="0049433C" w:rsidRPr="006314DE" w:rsidRDefault="0049433C" w:rsidP="0049433C">
            <w:pPr>
              <w:shd w:val="clear" w:color="auto" w:fill="FFFFFF"/>
              <w:ind w:left="331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</w:pPr>
            <w:r w:rsidRPr="006314DE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 xml:space="preserve">Cases (3) -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25</w:t>
            </w:r>
            <w:r w:rsidRPr="006314DE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%</w:t>
            </w:r>
          </w:p>
          <w:p w14:paraId="0B83132C" w14:textId="35313371" w:rsidR="0049433C" w:rsidRPr="006314DE" w:rsidRDefault="0049433C" w:rsidP="0049433C">
            <w:pPr>
              <w:widowControl w:val="0"/>
              <w:shd w:val="clear" w:color="auto" w:fill="FFFFFF"/>
              <w:ind w:left="33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</w:pPr>
            <w:r w:rsidRPr="006314DE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 xml:space="preserve">Mid-term -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15</w:t>
            </w:r>
            <w:r w:rsidRPr="006314DE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%</w:t>
            </w:r>
          </w:p>
          <w:p w14:paraId="060CBE46" w14:textId="058CE1E6" w:rsidR="008B6D95" w:rsidRDefault="0049433C" w:rsidP="00637FA4">
            <w:pPr>
              <w:widowControl w:val="0"/>
              <w:shd w:val="clear" w:color="auto" w:fill="FFFFFF"/>
              <w:ind w:left="33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</w:pPr>
            <w:r w:rsidRPr="006314DE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 xml:space="preserve">Final exam -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40</w:t>
            </w:r>
            <w:r w:rsidRPr="006314DE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%</w:t>
            </w:r>
          </w:p>
          <w:p w14:paraId="370A5B10" w14:textId="77777777" w:rsidR="00637FA4" w:rsidRPr="00637FA4" w:rsidRDefault="00637FA4" w:rsidP="00637FA4">
            <w:pPr>
              <w:widowControl w:val="0"/>
              <w:shd w:val="clear" w:color="auto" w:fill="FFFFFF"/>
              <w:ind w:left="33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u w:val="none"/>
                <w:lang w:val="en-CA" w:eastAsia="en-CA"/>
              </w:rPr>
            </w:pPr>
          </w:p>
          <w:p w14:paraId="6D32E66F" w14:textId="31EC48E4" w:rsidR="008B6D95" w:rsidRPr="00E268DA" w:rsidRDefault="008B6D95" w:rsidP="008B6D95">
            <w:pPr>
              <w:shd w:val="clear" w:color="auto" w:fill="FFFFFF"/>
              <w:rPr>
                <w:rFonts w:asciiTheme="minorHAnsi" w:eastAsia="Times New Roman" w:hAnsiTheme="minorHAnsi" w:cstheme="minorHAnsi"/>
                <w:b w:val="0"/>
                <w:color w:val="FF0000"/>
                <w:sz w:val="24"/>
                <w:szCs w:val="24"/>
                <w:u w:val="none"/>
                <w:lang w:val="en-CA" w:eastAsia="en-CA"/>
              </w:rPr>
            </w:pPr>
            <w:r w:rsidRPr="006721C8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CA" w:eastAsia="en-CA"/>
              </w:rPr>
              <w:t>Students must pass the final exam to receive a passing grade for the course.</w:t>
            </w:r>
          </w:p>
        </w:tc>
      </w:tr>
    </w:tbl>
    <w:p w14:paraId="40B93636" w14:textId="77777777" w:rsidR="0060577E" w:rsidRPr="003B4D4A" w:rsidRDefault="0060577E" w:rsidP="00EE25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1C618A4A" w14:textId="77777777" w:rsidR="0060577E" w:rsidRDefault="0060577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B4D4A">
        <w:rPr>
          <w:rFonts w:eastAsia="Times New Roman" w:cs="Times New Roman"/>
          <w:b/>
          <w:bCs/>
          <w:color w:val="000000"/>
          <w:sz w:val="28"/>
          <w:szCs w:val="28"/>
        </w:rPr>
        <w:t>Course Topics</w:t>
      </w:r>
    </w:p>
    <w:p w14:paraId="6502F619" w14:textId="77777777" w:rsidR="00950DBE" w:rsidRPr="00950DBE" w:rsidRDefault="00950DBE" w:rsidP="006057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577E" w:rsidRPr="003B4D4A" w14:paraId="7205D2E4" w14:textId="77777777" w:rsidTr="00EE254C">
        <w:trPr>
          <w:trHeight w:val="82"/>
        </w:trPr>
        <w:tc>
          <w:tcPr>
            <w:tcW w:w="102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FD7E9" w14:textId="3732AE38" w:rsidR="00B32C27" w:rsidRPr="00813A94" w:rsidRDefault="00B32C27" w:rsidP="00813A94">
            <w:p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1.  Corporate Governance and Executive Compensation</w:t>
            </w:r>
          </w:p>
          <w:p w14:paraId="4EBACE83" w14:textId="77777777" w:rsidR="00B32C27" w:rsidRPr="00813A94" w:rsidRDefault="00B32C27" w:rsidP="00FE2548">
            <w:pPr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Goal of the firm and agency costs</w:t>
            </w:r>
          </w:p>
          <w:p w14:paraId="6F915702" w14:textId="77777777" w:rsidR="00B32C27" w:rsidRPr="00813A94" w:rsidRDefault="00B32C27" w:rsidP="00FE2548">
            <w:pPr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Corporate governance overview</w:t>
            </w:r>
          </w:p>
          <w:p w14:paraId="35C3E0F6" w14:textId="77777777" w:rsidR="00B32C27" w:rsidRPr="00813A94" w:rsidRDefault="00B32C27" w:rsidP="00FE2548">
            <w:pPr>
              <w:numPr>
                <w:ilvl w:val="1"/>
                <w:numId w:val="14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Role of the board of directors</w:t>
            </w:r>
          </w:p>
          <w:p w14:paraId="369A1350" w14:textId="77777777" w:rsidR="00B32C27" w:rsidRPr="00813A94" w:rsidRDefault="00B32C27" w:rsidP="00FE2548">
            <w:pPr>
              <w:numPr>
                <w:ilvl w:val="1"/>
                <w:numId w:val="14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Shareholder rights</w:t>
            </w:r>
          </w:p>
          <w:p w14:paraId="4FE3A4A6" w14:textId="77777777" w:rsidR="00B32C27" w:rsidRPr="00813A94" w:rsidRDefault="00B32C27" w:rsidP="00FE2548">
            <w:pPr>
              <w:numPr>
                <w:ilvl w:val="1"/>
                <w:numId w:val="14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History of corporate governance in Canada</w:t>
            </w:r>
          </w:p>
          <w:p w14:paraId="6B30642C" w14:textId="77777777" w:rsidR="00B32C27" w:rsidRPr="00813A94" w:rsidRDefault="00B32C27" w:rsidP="00FE2548">
            <w:pPr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Corporate governance best practices</w:t>
            </w:r>
          </w:p>
          <w:p w14:paraId="3A7FCD18" w14:textId="3E52BCE9" w:rsidR="00B32C27" w:rsidRPr="00813A94" w:rsidRDefault="00B32C27" w:rsidP="00FE2548">
            <w:pPr>
              <w:pStyle w:val="ListParagraph"/>
              <w:numPr>
                <w:ilvl w:val="1"/>
                <w:numId w:val="15"/>
              </w:numPr>
              <w:tabs>
                <w:tab w:val="clear" w:pos="144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NI 51-201 Corporate Governance Guidelines </w:t>
            </w:r>
            <w:r w:rsidR="00F75BD8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–</w:t>
            </w: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F75BD8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Canadian Securities Administrators (CSA)</w:t>
            </w:r>
          </w:p>
          <w:p w14:paraId="53EBD4C7" w14:textId="2DB9B6B6" w:rsidR="00B32C27" w:rsidRPr="00813A94" w:rsidRDefault="00B32C27" w:rsidP="00FE2548">
            <w:pPr>
              <w:pStyle w:val="ListParagraph"/>
              <w:numPr>
                <w:ilvl w:val="1"/>
                <w:numId w:val="15"/>
              </w:numPr>
              <w:tabs>
                <w:tab w:val="clear" w:pos="144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NI 58-101 Disclosure of Corporate Governance Practices </w:t>
            </w:r>
            <w:r w:rsidR="00F75BD8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–</w:t>
            </w: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F75BD8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CSA</w:t>
            </w:r>
          </w:p>
          <w:p w14:paraId="194EC5F0" w14:textId="4A22F0D5" w:rsidR="00B32C27" w:rsidRPr="00813A94" w:rsidRDefault="00B32C27" w:rsidP="00FE2548">
            <w:pPr>
              <w:pStyle w:val="ListParagraph"/>
              <w:numPr>
                <w:ilvl w:val="1"/>
                <w:numId w:val="15"/>
              </w:numPr>
              <w:tabs>
                <w:tab w:val="clear" w:pos="144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Building High Performance Boards </w:t>
            </w:r>
            <w:r w:rsidR="00F75BD8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–</w:t>
            </w: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 C</w:t>
            </w:r>
            <w:r w:rsidR="00F75BD8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anadian Coalition for Good Governance</w:t>
            </w:r>
          </w:p>
          <w:p w14:paraId="7E0C5463" w14:textId="77777777" w:rsidR="00B32C27" w:rsidRPr="00813A94" w:rsidRDefault="00B32C27" w:rsidP="00FE2548">
            <w:pPr>
              <w:pStyle w:val="ListParagraph"/>
              <w:numPr>
                <w:ilvl w:val="1"/>
                <w:numId w:val="15"/>
              </w:numPr>
              <w:tabs>
                <w:tab w:val="clear" w:pos="144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The Corporate Governance of Listed Companies:  A Manual for Investors – CFA Institute</w:t>
            </w:r>
          </w:p>
          <w:p w14:paraId="3A0E4FC1" w14:textId="77777777" w:rsidR="00B32C27" w:rsidRPr="00813A94" w:rsidRDefault="00B32C27" w:rsidP="00FE2548">
            <w:pPr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Corporate governance in practice</w:t>
            </w:r>
          </w:p>
          <w:p w14:paraId="52166745" w14:textId="77777777" w:rsidR="00B32C27" w:rsidRPr="00813A94" w:rsidRDefault="00B32C27" w:rsidP="00FE2548">
            <w:pPr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lastRenderedPageBreak/>
              <w:t>Corporate governance ratings </w:t>
            </w:r>
          </w:p>
          <w:p w14:paraId="408498D5" w14:textId="0DD58540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ISS Governance Quality Scores</w:t>
            </w:r>
          </w:p>
          <w:p w14:paraId="39E80A42" w14:textId="77777777" w:rsidR="00B32C27" w:rsidRPr="00813A94" w:rsidRDefault="00B32C27" w:rsidP="00FE2548">
            <w:pPr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Responsibilities of directors</w:t>
            </w:r>
          </w:p>
          <w:p w14:paraId="15DE4884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Fiduciary duty</w:t>
            </w:r>
          </w:p>
          <w:p w14:paraId="0B90AED2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Duty of care</w:t>
            </w:r>
          </w:p>
          <w:p w14:paraId="488F70FA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Business judgement</w:t>
            </w:r>
          </w:p>
          <w:p w14:paraId="41EDF39F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Confidentiality </w:t>
            </w:r>
          </w:p>
          <w:p w14:paraId="60A7FB91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Conflict of interest</w:t>
            </w:r>
          </w:p>
          <w:p w14:paraId="276ADD97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Director liability</w:t>
            </w:r>
          </w:p>
          <w:p w14:paraId="49C3C39F" w14:textId="77777777" w:rsidR="00B32C27" w:rsidRPr="00813A94" w:rsidRDefault="00B32C27" w:rsidP="00FE2548">
            <w:pPr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Professional accreditation</w:t>
            </w:r>
          </w:p>
          <w:p w14:paraId="76347576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Institute of Corporate Directors (ICD)</w:t>
            </w:r>
          </w:p>
          <w:p w14:paraId="558B33BD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ICD.D professional designation</w:t>
            </w:r>
          </w:p>
          <w:p w14:paraId="584CCDDF" w14:textId="77777777" w:rsidR="00B32C27" w:rsidRPr="00813A94" w:rsidRDefault="00B32C27" w:rsidP="00FE2548">
            <w:pPr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Executive compensation</w:t>
            </w:r>
          </w:p>
          <w:p w14:paraId="1582D9A7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CCGG Executive Compensation Principles</w:t>
            </w:r>
          </w:p>
          <w:p w14:paraId="57E495E3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ind w:left="108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Elements of executive compensation</w:t>
            </w:r>
          </w:p>
          <w:p w14:paraId="77570479" w14:textId="77777777" w:rsidR="00B32C27" w:rsidRPr="00813A94" w:rsidRDefault="00B32C27" w:rsidP="00FE2548">
            <w:pPr>
              <w:numPr>
                <w:ilvl w:val="2"/>
                <w:numId w:val="17"/>
              </w:numPr>
              <w:ind w:left="144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Salary and bonus</w:t>
            </w:r>
          </w:p>
          <w:p w14:paraId="60537C15" w14:textId="77777777" w:rsidR="00B32C27" w:rsidRPr="00813A94" w:rsidRDefault="00B32C27" w:rsidP="00FE2548">
            <w:pPr>
              <w:numPr>
                <w:ilvl w:val="2"/>
                <w:numId w:val="17"/>
              </w:numPr>
              <w:ind w:left="144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Retirement plans</w:t>
            </w:r>
          </w:p>
          <w:p w14:paraId="7DCC21A5" w14:textId="77777777" w:rsidR="00B32C27" w:rsidRPr="00813A94" w:rsidRDefault="00B32C27" w:rsidP="00FE2548">
            <w:pPr>
              <w:numPr>
                <w:ilvl w:val="2"/>
                <w:numId w:val="17"/>
              </w:numPr>
              <w:ind w:left="144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Benefits and other perquisites</w:t>
            </w:r>
          </w:p>
          <w:p w14:paraId="1B33A5FD" w14:textId="77777777" w:rsidR="00B32C27" w:rsidRPr="00813A94" w:rsidRDefault="00B32C27" w:rsidP="00FE2548">
            <w:pPr>
              <w:numPr>
                <w:ilvl w:val="2"/>
                <w:numId w:val="17"/>
              </w:numPr>
              <w:ind w:left="144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Severance and change-in-control entitlements</w:t>
            </w:r>
          </w:p>
          <w:p w14:paraId="277395E1" w14:textId="77777777" w:rsidR="00B32C27" w:rsidRPr="00813A94" w:rsidRDefault="00B32C27" w:rsidP="00FE2548">
            <w:pPr>
              <w:numPr>
                <w:ilvl w:val="2"/>
                <w:numId w:val="17"/>
              </w:numPr>
              <w:ind w:left="144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Long-term incentives</w:t>
            </w:r>
          </w:p>
          <w:p w14:paraId="1849B0B5" w14:textId="77777777" w:rsidR="00B32C27" w:rsidRPr="00813A94" w:rsidRDefault="00B32C27" w:rsidP="00FE2548">
            <w:pPr>
              <w:numPr>
                <w:ilvl w:val="3"/>
                <w:numId w:val="16"/>
              </w:numPr>
              <w:ind w:left="180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Executive stock options (ESOs)</w:t>
            </w:r>
          </w:p>
          <w:p w14:paraId="5E0CCCAB" w14:textId="77777777" w:rsidR="00B32C27" w:rsidRPr="00813A94" w:rsidRDefault="00B32C27" w:rsidP="00FE2548">
            <w:pPr>
              <w:numPr>
                <w:ilvl w:val="3"/>
                <w:numId w:val="16"/>
              </w:numPr>
              <w:ind w:left="180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Restrictive share units (RSUs)</w:t>
            </w:r>
          </w:p>
          <w:p w14:paraId="2C14AFD0" w14:textId="77777777" w:rsidR="00B32C27" w:rsidRPr="00813A94" w:rsidRDefault="00B32C27" w:rsidP="00FE2548">
            <w:pPr>
              <w:numPr>
                <w:ilvl w:val="3"/>
                <w:numId w:val="16"/>
              </w:numPr>
              <w:ind w:left="180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Performance share units (PSUs)</w:t>
            </w:r>
          </w:p>
          <w:p w14:paraId="30A9836C" w14:textId="77777777" w:rsidR="00B32C27" w:rsidRPr="00813A94" w:rsidRDefault="00B32C27" w:rsidP="00FE2548">
            <w:pPr>
              <w:numPr>
                <w:ilvl w:val="3"/>
                <w:numId w:val="16"/>
              </w:numPr>
              <w:ind w:left="180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Deferred share units (DSUs)</w:t>
            </w:r>
          </w:p>
          <w:p w14:paraId="72239D4C" w14:textId="77777777" w:rsidR="00B32C27" w:rsidRPr="00813A94" w:rsidRDefault="00B32C27" w:rsidP="00FE2548">
            <w:pPr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Director compensation</w:t>
            </w:r>
          </w:p>
          <w:p w14:paraId="5B566F5C" w14:textId="77777777" w:rsidR="00B32C27" w:rsidRPr="00813A94" w:rsidRDefault="00B32C27" w:rsidP="00FE2548">
            <w:pPr>
              <w:numPr>
                <w:ilvl w:val="1"/>
                <w:numId w:val="13"/>
              </w:numPr>
              <w:tabs>
                <w:tab w:val="clear" w:pos="1440"/>
                <w:tab w:val="num" w:pos="1050"/>
              </w:tabs>
              <w:ind w:left="1050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CCGG Director Compensation Policy</w:t>
            </w:r>
          </w:p>
          <w:p w14:paraId="1DFAF4EA" w14:textId="77777777" w:rsidR="00B32C27" w:rsidRPr="00813A94" w:rsidRDefault="00B32C27" w:rsidP="00FE2548">
            <w:pPr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Research results</w:t>
            </w:r>
          </w:p>
          <w:p w14:paraId="3F927C57" w14:textId="77777777" w:rsidR="00B32C27" w:rsidRPr="00813A94" w:rsidRDefault="00B32C27" w:rsidP="00B32C27">
            <w:pPr>
              <w:tabs>
                <w:tab w:val="left" w:pos="180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71B8EC72" w14:textId="77777777" w:rsidR="00B32C27" w:rsidRPr="00813A94" w:rsidRDefault="00B32C27" w:rsidP="00FE2548">
            <w:pPr>
              <w:pStyle w:val="ListParagraph"/>
              <w:numPr>
                <w:ilvl w:val="4"/>
                <w:numId w:val="13"/>
              </w:numPr>
              <w:ind w:left="327" w:hanging="327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Permanent Debt and Equity Financing</w:t>
            </w:r>
          </w:p>
          <w:p w14:paraId="5E53BF42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18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Commercial lending</w:t>
            </w:r>
          </w:p>
          <w:p w14:paraId="4DDD2BE8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left" w:pos="480"/>
                <w:tab w:val="num" w:pos="1080"/>
                <w:tab w:val="left" w:pos="144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Commercial lenders</w:t>
            </w:r>
          </w:p>
          <w:p w14:paraId="38EA3075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left" w:pos="480"/>
                <w:tab w:val="num" w:pos="1080"/>
                <w:tab w:val="left" w:pos="144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Lending and monitoring process</w:t>
            </w:r>
          </w:p>
          <w:p w14:paraId="0B51D5CB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left" w:pos="480"/>
                <w:tab w:val="num" w:pos="1080"/>
                <w:tab w:val="left" w:pos="144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Syndicated loans and loan participations</w:t>
            </w:r>
          </w:p>
          <w:p w14:paraId="5D8385B1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left" w:pos="480"/>
                <w:tab w:val="num" w:pos="1080"/>
                <w:tab w:val="left" w:pos="144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Mezzanine financing</w:t>
            </w:r>
          </w:p>
          <w:p w14:paraId="19ACB2F1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left" w:pos="480"/>
                <w:tab w:val="num" w:pos="1080"/>
                <w:tab w:val="left" w:pos="144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Bridge loans</w:t>
            </w:r>
          </w:p>
          <w:p w14:paraId="115980A6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left" w:pos="480"/>
                <w:tab w:val="num" w:pos="1080"/>
                <w:tab w:val="left" w:pos="144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Project financing</w:t>
            </w:r>
          </w:p>
          <w:p w14:paraId="31A92384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left" w:pos="480"/>
                <w:tab w:val="num" w:pos="1080"/>
                <w:tab w:val="left" w:pos="144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Securitization</w:t>
            </w:r>
          </w:p>
          <w:p w14:paraId="40C4562C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left" w:pos="480"/>
                <w:tab w:val="num" w:pos="690"/>
                <w:tab w:val="left" w:pos="1440"/>
              </w:tabs>
              <w:ind w:left="690" w:hanging="27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Leasing</w:t>
            </w:r>
          </w:p>
          <w:p w14:paraId="472A99F2" w14:textId="77777777" w:rsidR="00B32C27" w:rsidRPr="00813A94" w:rsidRDefault="00B32C27" w:rsidP="00FE2548">
            <w:pPr>
              <w:numPr>
                <w:ilvl w:val="1"/>
                <w:numId w:val="6"/>
              </w:numPr>
              <w:tabs>
                <w:tab w:val="left" w:pos="-45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Operating versus financial leases</w:t>
            </w:r>
          </w:p>
          <w:p w14:paraId="4860A916" w14:textId="77777777" w:rsidR="00B32C27" w:rsidRPr="00813A94" w:rsidRDefault="00B32C27" w:rsidP="00FE2548">
            <w:pPr>
              <w:numPr>
                <w:ilvl w:val="1"/>
                <w:numId w:val="6"/>
              </w:numPr>
              <w:tabs>
                <w:tab w:val="left" w:pos="-45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Pros and cons of leasing</w:t>
            </w:r>
          </w:p>
          <w:p w14:paraId="1F3D0784" w14:textId="38CC306E" w:rsidR="00B32C27" w:rsidRPr="008B6D95" w:rsidRDefault="00B32C27" w:rsidP="008B6D95">
            <w:pPr>
              <w:numPr>
                <w:ilvl w:val="1"/>
                <w:numId w:val="6"/>
              </w:numPr>
              <w:tabs>
                <w:tab w:val="left" w:pos="-45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B6D9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Lease capitalization</w:t>
            </w:r>
          </w:p>
          <w:p w14:paraId="03561738" w14:textId="77777777" w:rsidR="00B32C27" w:rsidRPr="00813A94" w:rsidRDefault="00B32C27" w:rsidP="00FE2548">
            <w:pPr>
              <w:numPr>
                <w:ilvl w:val="1"/>
                <w:numId w:val="6"/>
              </w:numPr>
              <w:tabs>
                <w:tab w:val="left" w:pos="-45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Calculating lease payments</w:t>
            </w:r>
          </w:p>
          <w:p w14:paraId="18C55EAB" w14:textId="77777777" w:rsidR="00B32C27" w:rsidRPr="00813A94" w:rsidRDefault="00B32C27" w:rsidP="00FE2548">
            <w:pPr>
              <w:numPr>
                <w:ilvl w:val="1"/>
                <w:numId w:val="6"/>
              </w:numPr>
              <w:tabs>
                <w:tab w:val="left" w:pos="-45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Lease or buy decision</w:t>
            </w:r>
          </w:p>
          <w:p w14:paraId="66CD76BF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left" w:pos="690"/>
                <w:tab w:val="num" w:pos="780"/>
                <w:tab w:val="left" w:pos="1440"/>
              </w:tabs>
              <w:ind w:left="69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Corporate bond financing</w:t>
            </w:r>
          </w:p>
          <w:p w14:paraId="7351792A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num" w:pos="1050"/>
                <w:tab w:val="left" w:pos="144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lastRenderedPageBreak/>
              <w:t>Bonds versus commercial loans</w:t>
            </w:r>
          </w:p>
          <w:p w14:paraId="7669E432" w14:textId="0A5A8F69" w:rsidR="008B6D95" w:rsidRPr="008B6D95" w:rsidRDefault="00B32C27" w:rsidP="008B6D95">
            <w:pPr>
              <w:numPr>
                <w:ilvl w:val="2"/>
                <w:numId w:val="6"/>
              </w:numPr>
              <w:tabs>
                <w:tab w:val="clear" w:pos="1980"/>
                <w:tab w:val="num" w:pos="1050"/>
                <w:tab w:val="left" w:pos="144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Public and private placements</w:t>
            </w:r>
          </w:p>
          <w:p w14:paraId="46F73BF5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num" w:pos="1050"/>
                <w:tab w:val="left" w:pos="144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Bond provisions</w:t>
            </w:r>
          </w:p>
          <w:p w14:paraId="15C40B76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num" w:pos="1407"/>
                <w:tab w:val="left" w:pos="144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Interest rates and currency</w:t>
            </w:r>
          </w:p>
          <w:p w14:paraId="1CF85F19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num" w:pos="1407"/>
                <w:tab w:val="left" w:pos="144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Covenants</w:t>
            </w:r>
          </w:p>
          <w:p w14:paraId="03E04CBD" w14:textId="16761CE6" w:rsidR="00F14F1A" w:rsidRDefault="00B32C27" w:rsidP="00F14F1A">
            <w:pPr>
              <w:numPr>
                <w:ilvl w:val="2"/>
                <w:numId w:val="6"/>
              </w:numPr>
              <w:tabs>
                <w:tab w:val="clear" w:pos="1980"/>
                <w:tab w:val="num" w:pos="1407"/>
                <w:tab w:val="left" w:pos="144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Call options</w:t>
            </w:r>
            <w:r w:rsidR="00F14F1A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 and bond refinancing decision</w:t>
            </w:r>
          </w:p>
          <w:p w14:paraId="5DED5969" w14:textId="4EECAFC6" w:rsidR="008B6D95" w:rsidRPr="00F14F1A" w:rsidRDefault="00F14F1A" w:rsidP="00F14F1A">
            <w:pPr>
              <w:numPr>
                <w:ilvl w:val="2"/>
                <w:numId w:val="6"/>
              </w:numPr>
              <w:tabs>
                <w:tab w:val="clear" w:pos="1980"/>
                <w:tab w:val="num" w:pos="1407"/>
                <w:tab w:val="left" w:pos="144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</w:t>
            </w:r>
            <w:r w:rsidR="00B32C27"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onversion features</w:t>
            </w:r>
          </w:p>
          <w:p w14:paraId="611E8A3F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num" w:pos="1407"/>
                <w:tab w:val="left" w:pos="144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Bond sinking and purchase funds</w:t>
            </w:r>
          </w:p>
          <w:p w14:paraId="6BAA7C4F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num" w:pos="1407"/>
                <w:tab w:val="left" w:pos="144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Credit ratings</w:t>
            </w:r>
          </w:p>
          <w:p w14:paraId="066FD259" w14:textId="77777777" w:rsidR="00B32C27" w:rsidRPr="00813A94" w:rsidRDefault="00B32C27" w:rsidP="00FE2548">
            <w:pPr>
              <w:numPr>
                <w:ilvl w:val="2"/>
                <w:numId w:val="6"/>
              </w:numPr>
              <w:tabs>
                <w:tab w:val="clear" w:pos="1980"/>
                <w:tab w:val="num" w:pos="1407"/>
                <w:tab w:val="left" w:pos="144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Collateral, subordination, and guarantees</w:t>
            </w:r>
          </w:p>
          <w:p w14:paraId="0AE54653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54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Equity financing</w:t>
            </w:r>
          </w:p>
          <w:p w14:paraId="18C79527" w14:textId="77777777" w:rsidR="00B32C27" w:rsidRPr="00813A94" w:rsidRDefault="00B32C27" w:rsidP="00FE2548">
            <w:pPr>
              <w:numPr>
                <w:ilvl w:val="2"/>
                <w:numId w:val="5"/>
              </w:numPr>
              <w:tabs>
                <w:tab w:val="left" w:pos="1320"/>
                <w:tab w:val="left" w:pos="144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Self-funding</w:t>
            </w:r>
          </w:p>
          <w:p w14:paraId="3BB1B915" w14:textId="77777777" w:rsidR="00B32C27" w:rsidRPr="00813A94" w:rsidRDefault="00B32C27" w:rsidP="00FE2548">
            <w:pPr>
              <w:numPr>
                <w:ilvl w:val="2"/>
                <w:numId w:val="5"/>
              </w:numPr>
              <w:tabs>
                <w:tab w:val="left" w:pos="1320"/>
                <w:tab w:val="left" w:pos="144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Crowdfunding</w:t>
            </w:r>
          </w:p>
          <w:p w14:paraId="2C163226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9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Private equity</w:t>
            </w:r>
          </w:p>
          <w:p w14:paraId="6A8E9546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9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Angels, incubators, accelerators</w:t>
            </w:r>
          </w:p>
          <w:p w14:paraId="7B01847B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9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Venture capital</w:t>
            </w:r>
          </w:p>
          <w:p w14:paraId="04444BA9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450"/>
                <w:tab w:val="left" w:pos="-27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Franchising</w:t>
            </w:r>
          </w:p>
          <w:p w14:paraId="4B17584D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450"/>
                <w:tab w:val="left" w:pos="-27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Retained earnings</w:t>
            </w:r>
          </w:p>
          <w:p w14:paraId="59A36DDE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450"/>
                <w:tab w:val="left" w:pos="-27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Common and preferred shares</w:t>
            </w:r>
          </w:p>
          <w:p w14:paraId="6DBACD10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450"/>
                <w:tab w:val="left" w:pos="-27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Going public and public equity placements</w:t>
            </w:r>
          </w:p>
          <w:p w14:paraId="3259E2D6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450"/>
                <w:tab w:val="left" w:pos="-27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Private equity placements</w:t>
            </w:r>
          </w:p>
          <w:p w14:paraId="3D6007AE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450"/>
                <w:tab w:val="left" w:pos="-27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Dividend re-investment plans and stock purchase plans</w:t>
            </w:r>
          </w:p>
          <w:p w14:paraId="2813732E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450"/>
                <w:tab w:val="left" w:pos="-27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Rights offerings</w:t>
            </w:r>
          </w:p>
          <w:p w14:paraId="0D3684CE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450"/>
                <w:tab w:val="left" w:pos="-27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Limited partnerships</w:t>
            </w:r>
          </w:p>
          <w:p w14:paraId="7F91852F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9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Joint ventures and strategic alliances</w:t>
            </w:r>
          </w:p>
          <w:p w14:paraId="0CAF5EAD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9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Employee stock ownership plans (ESOP)</w:t>
            </w:r>
          </w:p>
          <w:p w14:paraId="3ECFDD67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63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Government financing programs</w:t>
            </w:r>
          </w:p>
          <w:p w14:paraId="476D87FE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9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Business Development Bank of Canada (BDBC)</w:t>
            </w:r>
          </w:p>
          <w:p w14:paraId="5006F15E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9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Export Development Corporation (EDC)</w:t>
            </w:r>
          </w:p>
          <w:p w14:paraId="356671AD" w14:textId="77777777" w:rsidR="00B32C27" w:rsidRPr="00813A94" w:rsidRDefault="00B32C27" w:rsidP="00FE2548">
            <w:pPr>
              <w:numPr>
                <w:ilvl w:val="1"/>
                <w:numId w:val="5"/>
              </w:numPr>
              <w:tabs>
                <w:tab w:val="clear" w:pos="1440"/>
                <w:tab w:val="left" w:pos="-9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Other government lending programs</w:t>
            </w:r>
          </w:p>
          <w:p w14:paraId="3623BB1C" w14:textId="77777777" w:rsidR="00B32C27" w:rsidRPr="00813A94" w:rsidRDefault="00B32C27" w:rsidP="00B32C27">
            <w:pP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14:paraId="13CE0308" w14:textId="77777777" w:rsidR="00B32C27" w:rsidRPr="00813A94" w:rsidRDefault="00B32C27" w:rsidP="00B32C27">
            <w:pP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3.   Working Capital Management</w:t>
            </w:r>
          </w:p>
          <w:p w14:paraId="615705EC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Managing cash</w:t>
            </w:r>
          </w:p>
          <w:p w14:paraId="0DAC005C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47"/>
              </w:tabs>
              <w:ind w:left="104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Effective cash management practices</w:t>
            </w:r>
          </w:p>
          <w:p w14:paraId="1A9675A2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97" w:hanging="4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Electronic payment</w:t>
            </w:r>
          </w:p>
          <w:p w14:paraId="192B81C6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97" w:hanging="4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Managing the float</w:t>
            </w:r>
          </w:p>
          <w:p w14:paraId="351E4C11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97" w:hanging="4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Cash concentration</w:t>
            </w:r>
          </w:p>
          <w:p w14:paraId="6658F86C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47"/>
              </w:tabs>
              <w:ind w:left="104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Investing temporary cash surpluses</w:t>
            </w:r>
          </w:p>
          <w:p w14:paraId="7E3F35AD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Treasury bills</w:t>
            </w:r>
          </w:p>
          <w:p w14:paraId="59FB2402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Term deposits and certificates of deposit</w:t>
            </w:r>
          </w:p>
          <w:p w14:paraId="12A14BCD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Bearer deposit notes</w:t>
            </w:r>
          </w:p>
          <w:p w14:paraId="50E5C09A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Commercial paper, asset-backed commercial paper, sales finance paper, and bankers’ acceptances</w:t>
            </w:r>
          </w:p>
          <w:p w14:paraId="191AB894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lastRenderedPageBreak/>
              <w:t>Short-dated bonds</w:t>
            </w:r>
          </w:p>
          <w:p w14:paraId="3127B712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Repurchase agreements</w:t>
            </w:r>
          </w:p>
          <w:p w14:paraId="5BA6F4F2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Euro deposits</w:t>
            </w:r>
          </w:p>
          <w:p w14:paraId="2F0FC5BA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Money market funds</w:t>
            </w:r>
          </w:p>
          <w:p w14:paraId="0B2133EF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Managing accounts receivable</w:t>
            </w:r>
          </w:p>
          <w:p w14:paraId="13D2169E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47"/>
              </w:tabs>
              <w:ind w:left="104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Types of credit</w:t>
            </w:r>
          </w:p>
          <w:p w14:paraId="7DBA671D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47"/>
              </w:tabs>
              <w:ind w:left="104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Credit terms</w:t>
            </w:r>
          </w:p>
          <w:p w14:paraId="7312BAD1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47"/>
              </w:tabs>
              <w:ind w:left="104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Credit approvals</w:t>
            </w:r>
          </w:p>
          <w:p w14:paraId="3095EAB9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47"/>
              </w:tabs>
              <w:ind w:left="104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Collections</w:t>
            </w:r>
          </w:p>
          <w:p w14:paraId="025A8C5C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47"/>
              </w:tabs>
              <w:ind w:left="104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Credit monitoring</w:t>
            </w:r>
          </w:p>
          <w:p w14:paraId="66C74E08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Managing inventory</w:t>
            </w:r>
          </w:p>
          <w:p w14:paraId="070973FC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47"/>
              </w:tabs>
              <w:ind w:left="104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Inventory management techniques</w:t>
            </w:r>
          </w:p>
          <w:p w14:paraId="10B34452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Supply chain technology</w:t>
            </w:r>
          </w:p>
          <w:p w14:paraId="4850B2FD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ABC analysis</w:t>
            </w:r>
          </w:p>
          <w:p w14:paraId="5AEF6C66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Economic order quantity (EOQ)</w:t>
            </w:r>
          </w:p>
          <w:p w14:paraId="2E1E72C0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Materials resource planning (MRP)</w:t>
            </w:r>
          </w:p>
          <w:p w14:paraId="61250697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Just-in-time (JIT) inventory and manufacturing</w:t>
            </w:r>
          </w:p>
          <w:p w14:paraId="647ABCB3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Vendor-managed inventory (VMI)</w:t>
            </w:r>
          </w:p>
          <w:p w14:paraId="53A603CE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Concurrent engineering</w:t>
            </w:r>
          </w:p>
          <w:p w14:paraId="22ECDB71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Outsourcing</w:t>
            </w:r>
          </w:p>
          <w:p w14:paraId="73AB3D36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407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Lean manufacturing</w:t>
            </w:r>
          </w:p>
          <w:p w14:paraId="0B58458B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47"/>
              </w:tabs>
              <w:ind w:left="104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Key performance indicators</w:t>
            </w:r>
          </w:p>
          <w:p w14:paraId="5470A1F6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Sources of temporary financing</w:t>
            </w:r>
          </w:p>
          <w:p w14:paraId="00024A9D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8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Specific assignment of accounts receivable</w:t>
            </w:r>
          </w:p>
          <w:p w14:paraId="72F52041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8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Specific assignment of inventory</w:t>
            </w:r>
          </w:p>
          <w:p w14:paraId="40E358CC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8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Purchase order financing</w:t>
            </w:r>
          </w:p>
          <w:p w14:paraId="6CD26332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8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Factoring and reverse factoring</w:t>
            </w:r>
          </w:p>
          <w:p w14:paraId="5E34743E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8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Securitization</w:t>
            </w:r>
          </w:p>
          <w:p w14:paraId="1D5C4AC3" w14:textId="242F5A74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5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Commercial paper and bankers</w:t>
            </w:r>
            <w:r w:rsidR="00F75BD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’</w:t>
            </w: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 xml:space="preserve"> acceptances</w:t>
            </w:r>
          </w:p>
          <w:p w14:paraId="78ACE551" w14:textId="77777777" w:rsidR="00B32C27" w:rsidRPr="00813A94" w:rsidRDefault="00B32C27" w:rsidP="00FE2548">
            <w:pPr>
              <w:numPr>
                <w:ilvl w:val="0"/>
                <w:numId w:val="4"/>
              </w:numPr>
              <w:tabs>
                <w:tab w:val="clear" w:pos="720"/>
                <w:tab w:val="left" w:pos="108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  <w:lang w:val="en-GB"/>
              </w:rPr>
              <w:t>Letters of credit</w:t>
            </w:r>
          </w:p>
          <w:p w14:paraId="1BE64366" w14:textId="77777777" w:rsidR="00B32C27" w:rsidRPr="00813A94" w:rsidRDefault="00B32C27" w:rsidP="00B32C27">
            <w:pPr>
              <w:rPr>
                <w:rFonts w:asciiTheme="minorHAnsi" w:eastAsiaTheme="minorHAnsi" w:hAnsiTheme="minorHAnsi" w:cstheme="minorHAnsi"/>
                <w:b w:val="0"/>
                <w:color w:val="000000" w:themeColor="text1"/>
                <w:u w:val="none"/>
              </w:rPr>
            </w:pPr>
          </w:p>
          <w:p w14:paraId="6BB453FA" w14:textId="77777777" w:rsidR="00B32C27" w:rsidRPr="00813A94" w:rsidRDefault="00B32C27" w:rsidP="00FE2548">
            <w:pPr>
              <w:pStyle w:val="ListParagraph"/>
              <w:numPr>
                <w:ilvl w:val="0"/>
                <w:numId w:val="12"/>
              </w:numPr>
              <w:ind w:left="327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Business Valuation</w:t>
            </w:r>
          </w:p>
          <w:p w14:paraId="0006994E" w14:textId="77777777" w:rsidR="00B32C27" w:rsidRPr="00813A94" w:rsidRDefault="00B32C27" w:rsidP="00FE2548">
            <w:pPr>
              <w:numPr>
                <w:ilvl w:val="1"/>
                <w:numId w:val="8"/>
              </w:numPr>
              <w:tabs>
                <w:tab w:val="clear" w:pos="144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Definitions of value</w:t>
            </w:r>
          </w:p>
          <w:p w14:paraId="18340600" w14:textId="77777777" w:rsidR="00B32C27" w:rsidRPr="00813A94" w:rsidRDefault="00B32C27" w:rsidP="00FE2548">
            <w:pPr>
              <w:numPr>
                <w:ilvl w:val="1"/>
                <w:numId w:val="8"/>
              </w:numPr>
              <w:tabs>
                <w:tab w:val="clear" w:pos="144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Applications of business valuation</w:t>
            </w:r>
          </w:p>
          <w:p w14:paraId="1ED6FE7A" w14:textId="77777777" w:rsidR="00B32C27" w:rsidRPr="00813A94" w:rsidRDefault="00B32C27" w:rsidP="00FE2548">
            <w:pPr>
              <w:numPr>
                <w:ilvl w:val="1"/>
                <w:numId w:val="8"/>
              </w:numPr>
              <w:tabs>
                <w:tab w:val="clear" w:pos="144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Sell-side and buy-side analysts</w:t>
            </w:r>
          </w:p>
          <w:p w14:paraId="38ED5299" w14:textId="77777777" w:rsidR="00B32C27" w:rsidRPr="00813A94" w:rsidRDefault="00B32C27" w:rsidP="00FE2548">
            <w:pPr>
              <w:numPr>
                <w:ilvl w:val="1"/>
                <w:numId w:val="8"/>
              </w:numPr>
              <w:tabs>
                <w:tab w:val="clear" w:pos="144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Valuation methods</w:t>
            </w:r>
          </w:p>
          <w:p w14:paraId="03869BC4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080"/>
                <w:tab w:val="left" w:pos="180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Income approaches – DDM, FCFE, FCFF</w:t>
            </w:r>
          </w:p>
          <w:p w14:paraId="5E125C0F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One-stage, two-state, and three-stage models</w:t>
            </w:r>
          </w:p>
          <w:p w14:paraId="01628B96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Estimating growth rate</w:t>
            </w:r>
          </w:p>
          <w:p w14:paraId="3C91AEB1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Historical growth rate</w:t>
            </w:r>
          </w:p>
          <w:p w14:paraId="3BE794CB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Forward-looking growth rate</w:t>
            </w:r>
          </w:p>
          <w:p w14:paraId="3E44028B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Sustainable growth rate</w:t>
            </w:r>
          </w:p>
          <w:p w14:paraId="52225D52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Special applications of the income approach </w:t>
            </w:r>
          </w:p>
          <w:p w14:paraId="0B62EFEE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lastRenderedPageBreak/>
              <w:t>Non-operating assets</w:t>
            </w:r>
          </w:p>
          <w:p w14:paraId="6D9B2878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Multi-unit businesses</w:t>
            </w:r>
          </w:p>
          <w:p w14:paraId="746C6778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Cyclical companies</w:t>
            </w:r>
          </w:p>
          <w:p w14:paraId="7DCA6BBD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Distressed companies</w:t>
            </w:r>
          </w:p>
          <w:p w14:paraId="59942952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080"/>
                <w:tab w:val="left" w:pos="180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Market multiples – P/E, P/BV, P/S, P/CF, EV/EBITDA</w:t>
            </w:r>
          </w:p>
          <w:p w14:paraId="24020BC7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407"/>
                <w:tab w:val="left" w:pos="180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Rationale for different multiples</w:t>
            </w:r>
          </w:p>
          <w:p w14:paraId="7D8A94BA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407"/>
                <w:tab w:val="left" w:pos="180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Calculating normalized earnings, book value, sales, cash flows, and EBITDA</w:t>
            </w:r>
          </w:p>
          <w:p w14:paraId="48788FB1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407"/>
                <w:tab w:val="left" w:pos="1800"/>
              </w:tabs>
              <w:ind w:left="140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Calculating the benchmark multiples</w:t>
            </w:r>
          </w:p>
          <w:p w14:paraId="542D5756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Justified P/E based on fundamentals</w:t>
            </w:r>
          </w:p>
          <w:p w14:paraId="6A7C5681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Comparable companies</w:t>
            </w:r>
          </w:p>
          <w:p w14:paraId="3F0F9204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Multi-regression analysis</w:t>
            </w:r>
          </w:p>
          <w:p w14:paraId="536186A8" w14:textId="77777777" w:rsidR="00B32C27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1767"/>
                <w:tab w:val="left" w:pos="1800"/>
              </w:tabs>
              <w:ind w:left="1767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Historical average price multiples</w:t>
            </w:r>
          </w:p>
          <w:p w14:paraId="24688A0B" w14:textId="668D4162" w:rsidR="0097752B" w:rsidRPr="00813A94" w:rsidRDefault="0097752B" w:rsidP="0097752B">
            <w:pPr>
              <w:numPr>
                <w:ilvl w:val="1"/>
                <w:numId w:val="7"/>
              </w:numPr>
              <w:tabs>
                <w:tab w:val="clear" w:pos="1440"/>
                <w:tab w:val="num" w:pos="1134"/>
              </w:tabs>
              <w:ind w:left="1044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Asset-based approach</w:t>
            </w:r>
          </w:p>
          <w:p w14:paraId="5F77C7C0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690"/>
                <w:tab w:val="left" w:pos="1800"/>
              </w:tabs>
              <w:ind w:left="69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Suitability of valuation methods</w:t>
            </w:r>
          </w:p>
          <w:p w14:paraId="11370019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690"/>
                <w:tab w:val="left" w:pos="1800"/>
              </w:tabs>
              <w:ind w:left="69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Control premiums, marketability discounts, and valuing private firms</w:t>
            </w:r>
          </w:p>
          <w:p w14:paraId="060B6F6A" w14:textId="77777777" w:rsidR="00B32C27" w:rsidRPr="00813A94" w:rsidRDefault="00B32C27" w:rsidP="00FE2548">
            <w:pPr>
              <w:numPr>
                <w:ilvl w:val="1"/>
                <w:numId w:val="7"/>
              </w:numPr>
              <w:tabs>
                <w:tab w:val="clear" w:pos="1440"/>
                <w:tab w:val="num" w:pos="690"/>
                <w:tab w:val="left" w:pos="1800"/>
              </w:tabs>
              <w:ind w:left="69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Professional designations</w:t>
            </w:r>
          </w:p>
          <w:p w14:paraId="7FBDEF0D" w14:textId="77777777" w:rsidR="00B32C27" w:rsidRPr="00813A94" w:rsidRDefault="00B32C27" w:rsidP="00B32C27">
            <w:pP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</w:p>
          <w:p w14:paraId="3488B2BF" w14:textId="1645D1A1" w:rsidR="00B32C27" w:rsidRPr="00813A94" w:rsidRDefault="00B32C27" w:rsidP="00FE2548">
            <w:pPr>
              <w:pStyle w:val="ListParagraph"/>
              <w:numPr>
                <w:ilvl w:val="0"/>
                <w:numId w:val="12"/>
              </w:numPr>
              <w:ind w:left="327" w:hanging="327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Mergers and Acquisitions and Corporate Restructuring</w:t>
            </w:r>
          </w:p>
          <w:p w14:paraId="7B3E07F3" w14:textId="77777777" w:rsidR="00B32C27" w:rsidRPr="00813A94" w:rsidRDefault="00B32C27" w:rsidP="00FE2548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Types of synergies</w:t>
            </w:r>
          </w:p>
          <w:p w14:paraId="15C3E8D2" w14:textId="77777777" w:rsidR="00B32C27" w:rsidRPr="00813A94" w:rsidRDefault="00B32C27" w:rsidP="00FE2548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Reasons not to engage in M&amp;As</w:t>
            </w:r>
          </w:p>
          <w:p w14:paraId="17C7775D" w14:textId="77777777" w:rsidR="00B32C27" w:rsidRPr="00813A94" w:rsidRDefault="00B32C27" w:rsidP="00FE2548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Types of M&amp;As</w:t>
            </w:r>
          </w:p>
          <w:p w14:paraId="5A3AF1AB" w14:textId="77777777" w:rsidR="00B32C27" w:rsidRPr="00813A94" w:rsidRDefault="00B32C27" w:rsidP="00FE2548">
            <w:pPr>
              <w:numPr>
                <w:ilvl w:val="0"/>
                <w:numId w:val="1"/>
              </w:numPr>
              <w:tabs>
                <w:tab w:val="clear" w:pos="1800"/>
                <w:tab w:val="num" w:pos="108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Mergers – Negotiation or proxy</w:t>
            </w:r>
          </w:p>
          <w:p w14:paraId="22560085" w14:textId="77777777" w:rsidR="00B32C27" w:rsidRPr="00813A94" w:rsidRDefault="00B32C27" w:rsidP="00FE2548">
            <w:pPr>
              <w:numPr>
                <w:ilvl w:val="0"/>
                <w:numId w:val="1"/>
              </w:numPr>
              <w:tabs>
                <w:tab w:val="clear" w:pos="1800"/>
                <w:tab w:val="num" w:pos="108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Acquisition of stock – Cash, stock, or mixed offer</w:t>
            </w:r>
          </w:p>
          <w:p w14:paraId="585EA829" w14:textId="77777777" w:rsidR="00B32C27" w:rsidRPr="00813A94" w:rsidRDefault="00B32C27" w:rsidP="00FE2548">
            <w:pPr>
              <w:numPr>
                <w:ilvl w:val="0"/>
                <w:numId w:val="1"/>
              </w:numPr>
              <w:tabs>
                <w:tab w:val="clear" w:pos="1800"/>
                <w:tab w:val="num" w:pos="1080"/>
              </w:tabs>
              <w:ind w:left="108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Acquisition of assets</w:t>
            </w:r>
          </w:p>
          <w:p w14:paraId="42660F6D" w14:textId="77777777" w:rsidR="00B32C27" w:rsidRPr="00813A94" w:rsidRDefault="00B32C27" w:rsidP="00FE2548">
            <w:pPr>
              <w:numPr>
                <w:ilvl w:val="0"/>
                <w:numId w:val="1"/>
              </w:numPr>
              <w:tabs>
                <w:tab w:val="clear" w:pos="180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Take-over bid process and disclosures</w:t>
            </w:r>
          </w:p>
          <w:p w14:paraId="606A9CF7" w14:textId="423B2CF7" w:rsidR="00B32C27" w:rsidRPr="00813A94" w:rsidRDefault="00B32C27" w:rsidP="00FE2548">
            <w:pPr>
              <w:numPr>
                <w:ilvl w:val="0"/>
                <w:numId w:val="1"/>
              </w:numPr>
              <w:tabs>
                <w:tab w:val="clear" w:pos="180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Take-over </w:t>
            </w:r>
            <w:r w:rsidR="008B6D9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defences</w:t>
            </w:r>
          </w:p>
          <w:p w14:paraId="32F694CB" w14:textId="74ABE6AC" w:rsidR="00B32C27" w:rsidRPr="008B6D95" w:rsidRDefault="00B32C27" w:rsidP="008B6D95">
            <w:pPr>
              <w:numPr>
                <w:ilvl w:val="0"/>
                <w:numId w:val="1"/>
              </w:numPr>
              <w:tabs>
                <w:tab w:val="clear" w:pos="180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Calculating a take-over bid</w:t>
            </w:r>
          </w:p>
          <w:p w14:paraId="38B708FD" w14:textId="77777777" w:rsidR="00B32C27" w:rsidRPr="00813A94" w:rsidRDefault="00B32C27" w:rsidP="00FE2548">
            <w:pPr>
              <w:numPr>
                <w:ilvl w:val="0"/>
                <w:numId w:val="1"/>
              </w:numPr>
              <w:tabs>
                <w:tab w:val="clear" w:pos="180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Success of M&amp;As</w:t>
            </w:r>
          </w:p>
          <w:p w14:paraId="60E09232" w14:textId="77777777" w:rsidR="00B32C27" w:rsidRPr="00813A94" w:rsidRDefault="00B32C27" w:rsidP="00FE2548">
            <w:pPr>
              <w:numPr>
                <w:ilvl w:val="0"/>
                <w:numId w:val="1"/>
              </w:numPr>
              <w:tabs>
                <w:tab w:val="clear" w:pos="1800"/>
                <w:tab w:val="num" w:pos="720"/>
              </w:tabs>
              <w:ind w:left="72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Other types of corporate restructuring </w:t>
            </w:r>
          </w:p>
          <w:p w14:paraId="22558286" w14:textId="77777777" w:rsidR="00B32C27" w:rsidRPr="00813A94" w:rsidRDefault="00B32C27" w:rsidP="00FE2548">
            <w:pPr>
              <w:numPr>
                <w:ilvl w:val="0"/>
                <w:numId w:val="1"/>
              </w:numPr>
              <w:tabs>
                <w:tab w:val="clear" w:pos="1800"/>
                <w:tab w:val="num" w:pos="105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Divestitures</w:t>
            </w:r>
          </w:p>
          <w:p w14:paraId="457D19E8" w14:textId="77777777" w:rsidR="00B32C27" w:rsidRPr="00813A94" w:rsidRDefault="00B32C27" w:rsidP="00FE2548">
            <w:pPr>
              <w:numPr>
                <w:ilvl w:val="0"/>
                <w:numId w:val="1"/>
              </w:numPr>
              <w:tabs>
                <w:tab w:val="clear" w:pos="1800"/>
                <w:tab w:val="num" w:pos="105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Spin-offs, split-offs, and split-ups</w:t>
            </w:r>
          </w:p>
          <w:p w14:paraId="6B57C134" w14:textId="77777777" w:rsidR="00B32C27" w:rsidRPr="00813A94" w:rsidRDefault="00B32C27" w:rsidP="00FE2548">
            <w:pPr>
              <w:numPr>
                <w:ilvl w:val="0"/>
                <w:numId w:val="1"/>
              </w:numPr>
              <w:tabs>
                <w:tab w:val="clear" w:pos="1800"/>
                <w:tab w:val="num" w:pos="1050"/>
              </w:tabs>
              <w:ind w:left="105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Tracking shares</w:t>
            </w:r>
          </w:p>
          <w:p w14:paraId="209BE59F" w14:textId="77777777" w:rsidR="00B32C27" w:rsidRPr="00813A94" w:rsidRDefault="00B32C27" w:rsidP="00B32C27">
            <w:pPr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16"/>
                <w:szCs w:val="16"/>
                <w:u w:val="none"/>
              </w:rPr>
            </w:pPr>
          </w:p>
          <w:p w14:paraId="17C4D6D0" w14:textId="77777777" w:rsidR="00B32C27" w:rsidRPr="00813A94" w:rsidRDefault="00B32C27" w:rsidP="00FE2548">
            <w:pPr>
              <w:pStyle w:val="ListParagraph"/>
              <w:numPr>
                <w:ilvl w:val="0"/>
                <w:numId w:val="12"/>
              </w:numPr>
              <w:ind w:left="327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Bankruptcy, Liquidation, and Reorganization</w:t>
            </w:r>
          </w:p>
          <w:p w14:paraId="75719910" w14:textId="77777777" w:rsidR="00B32C27" w:rsidRPr="00813A94" w:rsidRDefault="00B32C27" w:rsidP="00FE254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  <w:tab w:val="left" w:pos="504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Warning signs and causes of financial distress</w:t>
            </w:r>
          </w:p>
          <w:p w14:paraId="220A0129" w14:textId="77777777" w:rsidR="00B32C27" w:rsidRPr="00813A94" w:rsidRDefault="00B32C27" w:rsidP="00FE254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  <w:tab w:val="left" w:pos="504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Tools for analyzing financial distress</w:t>
            </w:r>
          </w:p>
          <w:p w14:paraId="74DB4F98" w14:textId="77777777" w:rsidR="00B32C27" w:rsidRPr="00813A94" w:rsidRDefault="00B32C27" w:rsidP="00FE254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Legal framework and key players in the bankruptcy process</w:t>
            </w:r>
          </w:p>
          <w:p w14:paraId="1C8961EC" w14:textId="77777777" w:rsidR="00B32C27" w:rsidRPr="00813A94" w:rsidRDefault="00B32C27" w:rsidP="00FE254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Informal and formal bankruptcy</w:t>
            </w:r>
          </w:p>
          <w:p w14:paraId="5D7E5D32" w14:textId="77777777" w:rsidR="00B32C27" w:rsidRPr="00813A94" w:rsidRDefault="00B32C27" w:rsidP="00FE254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Acts of bankruptcy</w:t>
            </w:r>
          </w:p>
          <w:p w14:paraId="53CA256C" w14:textId="77777777" w:rsidR="00B32C27" w:rsidRPr="00813A94" w:rsidRDefault="00B32C27" w:rsidP="00FE254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Liquidation process and priority of claims</w:t>
            </w:r>
          </w:p>
          <w:p w14:paraId="0D0A8D69" w14:textId="77777777" w:rsidR="00B32C27" w:rsidRPr="00813A94" w:rsidRDefault="00B32C27" w:rsidP="00FE254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Reorganization process and developing proposals</w:t>
            </w:r>
          </w:p>
          <w:p w14:paraId="68DF9B35" w14:textId="77777777" w:rsidR="00B32C27" w:rsidRPr="00813A94" w:rsidRDefault="00B32C27" w:rsidP="00FE254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Vulture capitalists and strategic bankruptcy</w:t>
            </w:r>
          </w:p>
          <w:p w14:paraId="65522495" w14:textId="77777777" w:rsidR="00B32C27" w:rsidRPr="00813A94" w:rsidRDefault="00B32C27" w:rsidP="00FE254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Professional designation</w:t>
            </w:r>
          </w:p>
          <w:p w14:paraId="1B806489" w14:textId="77777777" w:rsidR="00B32C27" w:rsidRPr="00813A94" w:rsidRDefault="00B32C27" w:rsidP="00B32C27">
            <w:pPr>
              <w:rPr>
                <w:rFonts w:eastAsiaTheme="minorHAnsi" w:cstheme="minorHAnsi"/>
                <w:color w:val="000000" w:themeColor="text1"/>
                <w:sz w:val="24"/>
                <w:szCs w:val="24"/>
              </w:rPr>
            </w:pPr>
          </w:p>
          <w:p w14:paraId="750E50D4" w14:textId="2000A4C9" w:rsidR="00B32C27" w:rsidRPr="00813A94" w:rsidRDefault="00B32C27" w:rsidP="00292A7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lastRenderedPageBreak/>
              <w:t>Hedging Financial Risk Using Derivatives</w:t>
            </w:r>
          </w:p>
          <w:p w14:paraId="4A550EA2" w14:textId="77777777" w:rsidR="00292A76" w:rsidRDefault="00292A76" w:rsidP="00292A76">
            <w:pPr>
              <w:pStyle w:val="ListParagraph"/>
              <w:numPr>
                <w:ilvl w:val="0"/>
                <w:numId w:val="18"/>
              </w:numPr>
              <w:ind w:left="690"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  <w:t>Types of insurance</w:t>
            </w:r>
          </w:p>
          <w:p w14:paraId="3C1F38DD" w14:textId="77777777" w:rsidR="00292A76" w:rsidRDefault="00292A76" w:rsidP="00292A76">
            <w:pPr>
              <w:pStyle w:val="ListParagraph"/>
              <w:numPr>
                <w:ilvl w:val="0"/>
                <w:numId w:val="18"/>
              </w:numPr>
              <w:ind w:left="1054"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  <w:t>Property</w:t>
            </w:r>
          </w:p>
          <w:p w14:paraId="14D5523A" w14:textId="77777777" w:rsidR="00292A76" w:rsidRDefault="00292A76" w:rsidP="00292A76">
            <w:pPr>
              <w:pStyle w:val="ListParagraph"/>
              <w:numPr>
                <w:ilvl w:val="0"/>
                <w:numId w:val="18"/>
              </w:numPr>
              <w:ind w:left="1054"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  <w:t>Liability</w:t>
            </w:r>
          </w:p>
          <w:p w14:paraId="56C029AD" w14:textId="77777777" w:rsidR="00292A76" w:rsidRDefault="00292A76" w:rsidP="00292A76">
            <w:pPr>
              <w:pStyle w:val="ListParagraph"/>
              <w:numPr>
                <w:ilvl w:val="0"/>
                <w:numId w:val="18"/>
              </w:numPr>
              <w:ind w:left="1054"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  <w:t>Key person</w:t>
            </w:r>
          </w:p>
          <w:p w14:paraId="250BAAF0" w14:textId="77777777" w:rsidR="00292A76" w:rsidRDefault="00292A76" w:rsidP="00292A76">
            <w:pPr>
              <w:pStyle w:val="ListParagraph"/>
              <w:numPr>
                <w:ilvl w:val="0"/>
                <w:numId w:val="18"/>
              </w:numPr>
              <w:ind w:left="1054"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  <w:t xml:space="preserve">Business interruption </w:t>
            </w:r>
          </w:p>
          <w:p w14:paraId="6E043EB7" w14:textId="40CA6828" w:rsidR="00292A76" w:rsidRPr="00292A76" w:rsidRDefault="00292A76" w:rsidP="00292A76">
            <w:pPr>
              <w:pStyle w:val="ListParagraph"/>
              <w:numPr>
                <w:ilvl w:val="0"/>
                <w:numId w:val="18"/>
              </w:numPr>
              <w:ind w:left="1054"/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u w:val="none"/>
              </w:rPr>
              <w:t>Export</w:t>
            </w:r>
          </w:p>
          <w:p w14:paraId="413FBD64" w14:textId="2B74B2F4" w:rsidR="00B32C27" w:rsidRPr="00813A94" w:rsidRDefault="00B32C27" w:rsidP="00292A76">
            <w:pPr>
              <w:pStyle w:val="ListParagraph"/>
              <w:numPr>
                <w:ilvl w:val="0"/>
                <w:numId w:val="18"/>
              </w:numPr>
              <w:ind w:left="69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Types of financial risk</w:t>
            </w:r>
          </w:p>
          <w:p w14:paraId="4A50238D" w14:textId="77777777" w:rsidR="00292A76" w:rsidRPr="00813A94" w:rsidRDefault="00292A76" w:rsidP="00292A76">
            <w:pPr>
              <w:pStyle w:val="ListParagraph"/>
              <w:numPr>
                <w:ilvl w:val="0"/>
                <w:numId w:val="18"/>
              </w:numPr>
              <w:ind w:left="105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Currency risk</w:t>
            </w:r>
          </w:p>
          <w:p w14:paraId="52C11A03" w14:textId="77777777" w:rsidR="00292A76" w:rsidRPr="00813A94" w:rsidRDefault="00292A76" w:rsidP="00292A76">
            <w:pPr>
              <w:pStyle w:val="ListParagraph"/>
              <w:numPr>
                <w:ilvl w:val="0"/>
                <w:numId w:val="18"/>
              </w:numPr>
              <w:ind w:left="105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Interest rate risk</w:t>
            </w:r>
          </w:p>
          <w:p w14:paraId="45518037" w14:textId="77777777" w:rsidR="00B32C27" w:rsidRPr="00813A94" w:rsidRDefault="00B32C27" w:rsidP="00FE2548">
            <w:pPr>
              <w:pStyle w:val="ListParagraph"/>
              <w:numPr>
                <w:ilvl w:val="0"/>
                <w:numId w:val="18"/>
              </w:numPr>
              <w:ind w:left="105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Commodity price risk</w:t>
            </w:r>
          </w:p>
          <w:p w14:paraId="5EBBB247" w14:textId="77777777" w:rsidR="00B32C27" w:rsidRPr="00813A94" w:rsidRDefault="00B32C27" w:rsidP="00FE2548">
            <w:pPr>
              <w:pStyle w:val="ListParagraph"/>
              <w:numPr>
                <w:ilvl w:val="0"/>
                <w:numId w:val="18"/>
              </w:numPr>
              <w:ind w:left="69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Hedging short-term and long-term risk exposures</w:t>
            </w:r>
          </w:p>
          <w:p w14:paraId="61B334F8" w14:textId="77777777" w:rsidR="00B32C27" w:rsidRPr="00813A94" w:rsidRDefault="00B32C27" w:rsidP="00FE2548">
            <w:pPr>
              <w:pStyle w:val="ListParagraph"/>
              <w:numPr>
                <w:ilvl w:val="0"/>
                <w:numId w:val="18"/>
              </w:numPr>
              <w:ind w:left="105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Forwards</w:t>
            </w:r>
          </w:p>
          <w:p w14:paraId="3303EC81" w14:textId="77777777" w:rsidR="00B32C27" w:rsidRPr="00813A94" w:rsidRDefault="00B32C27" w:rsidP="00FE2548">
            <w:pPr>
              <w:pStyle w:val="ListParagraph"/>
              <w:numPr>
                <w:ilvl w:val="0"/>
                <w:numId w:val="18"/>
              </w:numPr>
              <w:ind w:left="105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Futures</w:t>
            </w:r>
          </w:p>
          <w:p w14:paraId="3894E59C" w14:textId="77777777" w:rsidR="00B32C27" w:rsidRPr="00813A94" w:rsidRDefault="00B32C27" w:rsidP="00FE2548">
            <w:pPr>
              <w:pStyle w:val="ListParagraph"/>
              <w:numPr>
                <w:ilvl w:val="0"/>
                <w:numId w:val="18"/>
              </w:numPr>
              <w:ind w:left="105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Swaps</w:t>
            </w:r>
          </w:p>
          <w:p w14:paraId="433955DB" w14:textId="77777777" w:rsidR="00B32C27" w:rsidRPr="00813A94" w:rsidRDefault="00B32C27" w:rsidP="00FE2548">
            <w:pPr>
              <w:pStyle w:val="ListParagraph"/>
              <w:numPr>
                <w:ilvl w:val="0"/>
                <w:numId w:val="18"/>
              </w:numPr>
              <w:ind w:left="105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Options </w:t>
            </w:r>
          </w:p>
          <w:p w14:paraId="3DA80648" w14:textId="3C353271" w:rsidR="00B32C27" w:rsidRPr="00292A76" w:rsidRDefault="00B32C27" w:rsidP="00292A76">
            <w:pPr>
              <w:pStyle w:val="ListParagraph"/>
              <w:numPr>
                <w:ilvl w:val="0"/>
                <w:numId w:val="18"/>
              </w:numPr>
              <w:ind w:left="1050"/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813A94">
              <w:rPr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>Natural hedging</w:t>
            </w:r>
          </w:p>
        </w:tc>
      </w:tr>
    </w:tbl>
    <w:p w14:paraId="33471674" w14:textId="77777777" w:rsidR="003B4D4A" w:rsidRPr="003B4D4A" w:rsidRDefault="003B4D4A" w:rsidP="00433F12">
      <w:pPr>
        <w:keepLines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sectPr w:rsidR="003B4D4A" w:rsidRPr="003B4D4A" w:rsidSect="0060577E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EA9E" w14:textId="77777777" w:rsidR="00AD53BF" w:rsidRDefault="00AD53BF" w:rsidP="007406D3">
      <w:pPr>
        <w:spacing w:after="0" w:line="240" w:lineRule="auto"/>
      </w:pPr>
      <w:r>
        <w:separator/>
      </w:r>
    </w:p>
  </w:endnote>
  <w:endnote w:type="continuationSeparator" w:id="0">
    <w:p w14:paraId="65F4E886" w14:textId="77777777" w:rsidR="00AD53BF" w:rsidRDefault="00AD53BF" w:rsidP="0074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DABF" w14:textId="77777777" w:rsidR="00E928E9" w:rsidRDefault="00000000" w:rsidP="00E928E9">
    <w:pPr>
      <w:pStyle w:val="Footer"/>
      <w:tabs>
        <w:tab w:val="clear" w:pos="9360"/>
        <w:tab w:val="right" w:pos="10170"/>
      </w:tabs>
      <w:rPr>
        <w:rFonts w:asciiTheme="minorHAnsi" w:eastAsiaTheme="majorEastAsia" w:hAnsiTheme="minorHAnsi"/>
        <w:b/>
      </w:rPr>
    </w:pPr>
    <w:r>
      <w:rPr>
        <w:rFonts w:asciiTheme="minorHAnsi" w:eastAsiaTheme="majorEastAsia" w:hAnsiTheme="minorHAnsi"/>
        <w:b/>
      </w:rPr>
      <w:pict w14:anchorId="352D5EF1">
        <v:rect id="_x0000_i1025" style="width:0;height:1.5pt" o:hralign="center" o:hrstd="t" o:hr="t" fillcolor="#a0a0a0" stroked="f"/>
      </w:pict>
    </w:r>
  </w:p>
  <w:p w14:paraId="3B1DA96E" w14:textId="47B7EE86" w:rsidR="00F72FDF" w:rsidRPr="00380626" w:rsidRDefault="004B42FC" w:rsidP="00D24B5E">
    <w:pPr>
      <w:pStyle w:val="Footer"/>
      <w:tabs>
        <w:tab w:val="clear" w:pos="9360"/>
        <w:tab w:val="right" w:pos="10170"/>
      </w:tabs>
      <w:rPr>
        <w:rFonts w:asciiTheme="minorHAnsi" w:eastAsiaTheme="majorEastAsia" w:hAnsiTheme="minorHAnsi"/>
        <w:bCs/>
      </w:rPr>
    </w:pPr>
    <w:r w:rsidRPr="00380626">
      <w:rPr>
        <w:rFonts w:asciiTheme="minorHAnsi" w:eastAsiaTheme="majorEastAsia" w:hAnsiTheme="minorHAnsi"/>
        <w:bCs/>
      </w:rPr>
      <w:t>BUSN 6</w:t>
    </w:r>
    <w:r w:rsidR="00B32C27" w:rsidRPr="00380626">
      <w:rPr>
        <w:rFonts w:asciiTheme="minorHAnsi" w:eastAsiaTheme="majorEastAsia" w:hAnsiTheme="minorHAnsi"/>
        <w:bCs/>
      </w:rPr>
      <w:t>210</w:t>
    </w:r>
    <w:r w:rsidR="00F741DD" w:rsidRPr="00380626">
      <w:rPr>
        <w:rFonts w:asciiTheme="minorHAnsi" w:eastAsiaTheme="majorEastAsia" w:hAnsiTheme="minorHAnsi"/>
        <w:bCs/>
      </w:rPr>
      <w:t xml:space="preserve"> </w:t>
    </w:r>
    <w:r w:rsidR="00B32C27" w:rsidRPr="00380626">
      <w:rPr>
        <w:rFonts w:asciiTheme="minorHAnsi" w:eastAsiaTheme="majorEastAsia" w:hAnsiTheme="minorHAnsi"/>
        <w:bCs/>
      </w:rPr>
      <w:t xml:space="preserve">Advanced </w:t>
    </w:r>
    <w:r w:rsidRPr="00380626">
      <w:rPr>
        <w:rFonts w:asciiTheme="minorHAnsi" w:eastAsiaTheme="majorEastAsia" w:hAnsiTheme="minorHAnsi"/>
        <w:bCs/>
      </w:rPr>
      <w:t xml:space="preserve">Corporate Finance </w:t>
    </w:r>
    <w:r w:rsidR="00F741DD" w:rsidRPr="00380626">
      <w:rPr>
        <w:rFonts w:asciiTheme="minorHAnsi" w:eastAsiaTheme="majorEastAsia" w:hAnsiTheme="minorHAnsi"/>
        <w:bCs/>
      </w:rPr>
      <w:t xml:space="preserve"> </w:t>
    </w:r>
    <w:r w:rsidR="00A1302E" w:rsidRPr="00380626">
      <w:rPr>
        <w:rFonts w:asciiTheme="minorHAnsi" w:eastAsiaTheme="majorEastAsia" w:hAnsiTheme="minorHAnsi"/>
        <w:bCs/>
      </w:rPr>
      <w:t xml:space="preserve">            </w:t>
    </w:r>
    <w:r w:rsidR="00B32C27" w:rsidRPr="00380626">
      <w:rPr>
        <w:rFonts w:asciiTheme="minorHAnsi" w:eastAsiaTheme="majorEastAsia" w:hAnsiTheme="minorHAnsi"/>
        <w:bCs/>
      </w:rPr>
      <w:t xml:space="preserve">  </w:t>
    </w:r>
    <w:r w:rsidR="00A1302E" w:rsidRPr="00380626">
      <w:rPr>
        <w:rFonts w:asciiTheme="minorHAnsi" w:eastAsiaTheme="majorEastAsia" w:hAnsiTheme="minorHAnsi"/>
        <w:bCs/>
      </w:rPr>
      <w:t xml:space="preserve">               </w:t>
    </w:r>
    <w:r w:rsidR="006B4D7C" w:rsidRPr="00380626">
      <w:rPr>
        <w:rFonts w:asciiTheme="minorHAnsi" w:eastAsiaTheme="majorEastAsia" w:hAnsiTheme="minorHAnsi"/>
        <w:bCs/>
      </w:rPr>
      <w:t xml:space="preserve">                                        </w:t>
    </w:r>
    <w:r w:rsidR="000F08BB" w:rsidRPr="00380626">
      <w:rPr>
        <w:rFonts w:asciiTheme="minorHAnsi" w:eastAsiaTheme="majorEastAsia" w:hAnsiTheme="minorHAnsi"/>
        <w:bCs/>
      </w:rPr>
      <w:t xml:space="preserve">              </w:t>
    </w:r>
    <w:r w:rsidRPr="00380626">
      <w:rPr>
        <w:rFonts w:asciiTheme="minorHAnsi" w:eastAsiaTheme="majorEastAsia" w:hAnsiTheme="minorHAnsi"/>
        <w:bCs/>
      </w:rPr>
      <w:t xml:space="preserve">        </w:t>
    </w:r>
    <w:r w:rsidR="000F08BB" w:rsidRPr="00380626">
      <w:rPr>
        <w:rFonts w:asciiTheme="minorHAnsi" w:eastAsiaTheme="majorEastAsia" w:hAnsiTheme="minorHAnsi"/>
        <w:bCs/>
      </w:rPr>
      <w:t xml:space="preserve"> </w:t>
    </w:r>
    <w:r w:rsidR="00581F5E" w:rsidRPr="00380626">
      <w:rPr>
        <w:rFonts w:asciiTheme="minorHAnsi" w:eastAsiaTheme="majorEastAsia" w:hAnsiTheme="minorHAnsi"/>
        <w:bCs/>
      </w:rPr>
      <w:t xml:space="preserve">   </w:t>
    </w:r>
    <w:r w:rsidR="007B60E0" w:rsidRPr="00380626">
      <w:rPr>
        <w:rFonts w:asciiTheme="minorHAnsi" w:eastAsiaTheme="majorEastAsia" w:hAnsiTheme="minorHAnsi"/>
        <w:bCs/>
      </w:rPr>
      <w:t xml:space="preserve">Page </w:t>
    </w:r>
    <w:r w:rsidR="00DB2F47" w:rsidRPr="00380626">
      <w:rPr>
        <w:rFonts w:asciiTheme="minorHAnsi" w:eastAsiaTheme="minorEastAsia" w:hAnsiTheme="minorHAnsi"/>
        <w:bCs/>
      </w:rPr>
      <w:fldChar w:fldCharType="begin"/>
    </w:r>
    <w:r w:rsidR="00DB2F47" w:rsidRPr="00380626">
      <w:rPr>
        <w:rFonts w:asciiTheme="minorHAnsi" w:hAnsiTheme="minorHAnsi"/>
        <w:bCs/>
      </w:rPr>
      <w:instrText xml:space="preserve"> PAGE   \* MERGEFORMAT </w:instrText>
    </w:r>
    <w:r w:rsidR="00DB2F47" w:rsidRPr="00380626">
      <w:rPr>
        <w:rFonts w:asciiTheme="minorHAnsi" w:eastAsiaTheme="minorEastAsia" w:hAnsiTheme="minorHAnsi"/>
        <w:bCs/>
      </w:rPr>
      <w:fldChar w:fldCharType="separate"/>
    </w:r>
    <w:r w:rsidR="00FB7B54" w:rsidRPr="00380626">
      <w:rPr>
        <w:rFonts w:asciiTheme="minorHAnsi" w:eastAsiaTheme="majorEastAsia" w:hAnsiTheme="minorHAnsi"/>
        <w:bCs/>
        <w:noProof/>
      </w:rPr>
      <w:t>3</w:t>
    </w:r>
    <w:r w:rsidR="00DB2F47" w:rsidRPr="00380626">
      <w:rPr>
        <w:rFonts w:asciiTheme="minorHAnsi" w:eastAsiaTheme="majorEastAsia" w:hAnsiTheme="minorHAnsi"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AEB00" w14:textId="77777777" w:rsidR="00AD53BF" w:rsidRDefault="00AD53BF" w:rsidP="007406D3">
      <w:pPr>
        <w:spacing w:after="0" w:line="240" w:lineRule="auto"/>
      </w:pPr>
      <w:r>
        <w:separator/>
      </w:r>
    </w:p>
  </w:footnote>
  <w:footnote w:type="continuationSeparator" w:id="0">
    <w:p w14:paraId="5574120E" w14:textId="77777777" w:rsidR="00AD53BF" w:rsidRDefault="00AD53BF" w:rsidP="00740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6C74"/>
    <w:multiLevelType w:val="hybridMultilevel"/>
    <w:tmpl w:val="E93646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5467B"/>
    <w:multiLevelType w:val="hybridMultilevel"/>
    <w:tmpl w:val="2CC8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C39"/>
    <w:multiLevelType w:val="hybridMultilevel"/>
    <w:tmpl w:val="8D5465DA"/>
    <w:lvl w:ilvl="0" w:tplc="10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A83B42"/>
    <w:multiLevelType w:val="hybridMultilevel"/>
    <w:tmpl w:val="BA3C1EF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232D"/>
    <w:multiLevelType w:val="hybridMultilevel"/>
    <w:tmpl w:val="7FEE7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60A76"/>
    <w:multiLevelType w:val="hybridMultilevel"/>
    <w:tmpl w:val="63D69714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0EC"/>
    <w:multiLevelType w:val="hybridMultilevel"/>
    <w:tmpl w:val="A3E66184"/>
    <w:lvl w:ilvl="0" w:tplc="F4DA1A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4A50DC"/>
    <w:multiLevelType w:val="hybridMultilevel"/>
    <w:tmpl w:val="9A78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D1F9F"/>
    <w:multiLevelType w:val="hybridMultilevel"/>
    <w:tmpl w:val="4F54D51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7225B"/>
    <w:multiLevelType w:val="hybridMultilevel"/>
    <w:tmpl w:val="9112E8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4D728D"/>
    <w:multiLevelType w:val="multilevel"/>
    <w:tmpl w:val="57A0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E40E3"/>
    <w:multiLevelType w:val="multilevel"/>
    <w:tmpl w:val="04F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53237"/>
    <w:multiLevelType w:val="hybridMultilevel"/>
    <w:tmpl w:val="4D36A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C39A3"/>
    <w:multiLevelType w:val="hybridMultilevel"/>
    <w:tmpl w:val="AC08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34887"/>
    <w:multiLevelType w:val="multilevel"/>
    <w:tmpl w:val="533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C9053B"/>
    <w:multiLevelType w:val="hybridMultilevel"/>
    <w:tmpl w:val="7F5EB272"/>
    <w:lvl w:ilvl="0" w:tplc="F4DA1A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448FA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54017E"/>
    <w:multiLevelType w:val="hybridMultilevel"/>
    <w:tmpl w:val="E726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41EDC"/>
    <w:multiLevelType w:val="hybridMultilevel"/>
    <w:tmpl w:val="7B8C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00616">
    <w:abstractNumId w:val="0"/>
  </w:num>
  <w:num w:numId="2" w16cid:durableId="2121954360">
    <w:abstractNumId w:val="9"/>
  </w:num>
  <w:num w:numId="3" w16cid:durableId="1362321188">
    <w:abstractNumId w:val="16"/>
  </w:num>
  <w:num w:numId="4" w16cid:durableId="742412903">
    <w:abstractNumId w:val="3"/>
  </w:num>
  <w:num w:numId="5" w16cid:durableId="1577326766">
    <w:abstractNumId w:val="8"/>
  </w:num>
  <w:num w:numId="6" w16cid:durableId="381756357">
    <w:abstractNumId w:val="2"/>
  </w:num>
  <w:num w:numId="7" w16cid:durableId="1375159615">
    <w:abstractNumId w:val="15"/>
  </w:num>
  <w:num w:numId="8" w16cid:durableId="1747799514">
    <w:abstractNumId w:val="6"/>
  </w:num>
  <w:num w:numId="9" w16cid:durableId="1389299801">
    <w:abstractNumId w:val="12"/>
  </w:num>
  <w:num w:numId="10" w16cid:durableId="797721887">
    <w:abstractNumId w:val="7"/>
  </w:num>
  <w:num w:numId="11" w16cid:durableId="1614165841">
    <w:abstractNumId w:val="17"/>
  </w:num>
  <w:num w:numId="12" w16cid:durableId="1675449638">
    <w:abstractNumId w:val="5"/>
  </w:num>
  <w:num w:numId="13" w16cid:durableId="1963413400">
    <w:abstractNumId w:val="10"/>
  </w:num>
  <w:num w:numId="14" w16cid:durableId="1830559148">
    <w:abstractNumId w:val="11"/>
  </w:num>
  <w:num w:numId="15" w16cid:durableId="230426741">
    <w:abstractNumId w:val="14"/>
  </w:num>
  <w:num w:numId="16" w16cid:durableId="978806865">
    <w:abstractNumId w:val="1"/>
  </w:num>
  <w:num w:numId="17" w16cid:durableId="296492637">
    <w:abstractNumId w:val="13"/>
  </w:num>
  <w:num w:numId="18" w16cid:durableId="78901252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0MjAwNzQwtzSwNDJX0lEKTi0uzszPAykwqgUAvkWGNCwAAAA="/>
  </w:docVars>
  <w:rsids>
    <w:rsidRoot w:val="0060577E"/>
    <w:rsid w:val="000041A1"/>
    <w:rsid w:val="0000572F"/>
    <w:rsid w:val="00014DAD"/>
    <w:rsid w:val="0002170D"/>
    <w:rsid w:val="00025399"/>
    <w:rsid w:val="000302C4"/>
    <w:rsid w:val="0004372A"/>
    <w:rsid w:val="00043CDB"/>
    <w:rsid w:val="0004493C"/>
    <w:rsid w:val="000501CA"/>
    <w:rsid w:val="0005471C"/>
    <w:rsid w:val="00066715"/>
    <w:rsid w:val="000705D8"/>
    <w:rsid w:val="00074BFB"/>
    <w:rsid w:val="000750D8"/>
    <w:rsid w:val="00081DC1"/>
    <w:rsid w:val="00087D59"/>
    <w:rsid w:val="00093604"/>
    <w:rsid w:val="0009392A"/>
    <w:rsid w:val="00093F4E"/>
    <w:rsid w:val="000B582F"/>
    <w:rsid w:val="000C4915"/>
    <w:rsid w:val="000D5D6F"/>
    <w:rsid w:val="000E003D"/>
    <w:rsid w:val="000E1B72"/>
    <w:rsid w:val="000E3AB5"/>
    <w:rsid w:val="000E74B7"/>
    <w:rsid w:val="000F08BB"/>
    <w:rsid w:val="000F2775"/>
    <w:rsid w:val="000F31FA"/>
    <w:rsid w:val="000F5BE7"/>
    <w:rsid w:val="000F6F1A"/>
    <w:rsid w:val="00100D1D"/>
    <w:rsid w:val="00100F1B"/>
    <w:rsid w:val="00101CF6"/>
    <w:rsid w:val="0010453D"/>
    <w:rsid w:val="00122E47"/>
    <w:rsid w:val="00124072"/>
    <w:rsid w:val="00125A3C"/>
    <w:rsid w:val="0013225C"/>
    <w:rsid w:val="0013400D"/>
    <w:rsid w:val="00137FBF"/>
    <w:rsid w:val="001416F4"/>
    <w:rsid w:val="00146CF2"/>
    <w:rsid w:val="00151B9E"/>
    <w:rsid w:val="001550B1"/>
    <w:rsid w:val="00166701"/>
    <w:rsid w:val="00177252"/>
    <w:rsid w:val="001811AD"/>
    <w:rsid w:val="001859FE"/>
    <w:rsid w:val="00196E9D"/>
    <w:rsid w:val="0019700B"/>
    <w:rsid w:val="001A3CB7"/>
    <w:rsid w:val="001A55DA"/>
    <w:rsid w:val="001B2EEB"/>
    <w:rsid w:val="001C5031"/>
    <w:rsid w:val="001D66B3"/>
    <w:rsid w:val="001E48D9"/>
    <w:rsid w:val="001F128B"/>
    <w:rsid w:val="001F32EC"/>
    <w:rsid w:val="001F52B9"/>
    <w:rsid w:val="001F7487"/>
    <w:rsid w:val="00201324"/>
    <w:rsid w:val="00206288"/>
    <w:rsid w:val="0021715B"/>
    <w:rsid w:val="00221DE5"/>
    <w:rsid w:val="00225809"/>
    <w:rsid w:val="00226CC2"/>
    <w:rsid w:val="002274E6"/>
    <w:rsid w:val="00232DE0"/>
    <w:rsid w:val="00234404"/>
    <w:rsid w:val="002410E9"/>
    <w:rsid w:val="00242D63"/>
    <w:rsid w:val="0024380A"/>
    <w:rsid w:val="00243E9C"/>
    <w:rsid w:val="00251180"/>
    <w:rsid w:val="002575F0"/>
    <w:rsid w:val="00257752"/>
    <w:rsid w:val="0025783B"/>
    <w:rsid w:val="002603BB"/>
    <w:rsid w:val="00261056"/>
    <w:rsid w:val="0026251C"/>
    <w:rsid w:val="00266B56"/>
    <w:rsid w:val="00271A6F"/>
    <w:rsid w:val="002725A8"/>
    <w:rsid w:val="00280C0F"/>
    <w:rsid w:val="00283EC3"/>
    <w:rsid w:val="0028571C"/>
    <w:rsid w:val="002865FA"/>
    <w:rsid w:val="0028786C"/>
    <w:rsid w:val="00292977"/>
    <w:rsid w:val="00292A76"/>
    <w:rsid w:val="00292F51"/>
    <w:rsid w:val="00293149"/>
    <w:rsid w:val="00293DCF"/>
    <w:rsid w:val="00297B81"/>
    <w:rsid w:val="002A62E2"/>
    <w:rsid w:val="002A6C6D"/>
    <w:rsid w:val="002B3CFC"/>
    <w:rsid w:val="002C1C3A"/>
    <w:rsid w:val="002C2A47"/>
    <w:rsid w:val="002C5D9D"/>
    <w:rsid w:val="002C6AAC"/>
    <w:rsid w:val="002E65C9"/>
    <w:rsid w:val="0030474A"/>
    <w:rsid w:val="00307753"/>
    <w:rsid w:val="00314171"/>
    <w:rsid w:val="003200BA"/>
    <w:rsid w:val="00320730"/>
    <w:rsid w:val="00331D8D"/>
    <w:rsid w:val="003331A2"/>
    <w:rsid w:val="003337F4"/>
    <w:rsid w:val="00337356"/>
    <w:rsid w:val="00352F73"/>
    <w:rsid w:val="003546E9"/>
    <w:rsid w:val="00355065"/>
    <w:rsid w:val="003558B2"/>
    <w:rsid w:val="00362BBA"/>
    <w:rsid w:val="00370A41"/>
    <w:rsid w:val="00380626"/>
    <w:rsid w:val="00385192"/>
    <w:rsid w:val="00397E19"/>
    <w:rsid w:val="003A0A22"/>
    <w:rsid w:val="003A2172"/>
    <w:rsid w:val="003A792A"/>
    <w:rsid w:val="003B13FA"/>
    <w:rsid w:val="003B2659"/>
    <w:rsid w:val="003B4D4A"/>
    <w:rsid w:val="003C2E6D"/>
    <w:rsid w:val="003D3A39"/>
    <w:rsid w:val="003D74BD"/>
    <w:rsid w:val="003F20EB"/>
    <w:rsid w:val="003F4E0B"/>
    <w:rsid w:val="003F5C4B"/>
    <w:rsid w:val="00400A6E"/>
    <w:rsid w:val="00402C77"/>
    <w:rsid w:val="0040557F"/>
    <w:rsid w:val="00417F63"/>
    <w:rsid w:val="004300BA"/>
    <w:rsid w:val="00430938"/>
    <w:rsid w:val="00433F12"/>
    <w:rsid w:val="00465092"/>
    <w:rsid w:val="00465B7E"/>
    <w:rsid w:val="004663A0"/>
    <w:rsid w:val="00466E06"/>
    <w:rsid w:val="00474274"/>
    <w:rsid w:val="0047577B"/>
    <w:rsid w:val="004855E3"/>
    <w:rsid w:val="0049433C"/>
    <w:rsid w:val="004A0C2A"/>
    <w:rsid w:val="004A38D7"/>
    <w:rsid w:val="004A67F1"/>
    <w:rsid w:val="004B42FC"/>
    <w:rsid w:val="004B63F6"/>
    <w:rsid w:val="004B7158"/>
    <w:rsid w:val="004C335A"/>
    <w:rsid w:val="004E0163"/>
    <w:rsid w:val="004E1EE6"/>
    <w:rsid w:val="004E27B1"/>
    <w:rsid w:val="004E59C7"/>
    <w:rsid w:val="004E6460"/>
    <w:rsid w:val="004F21CA"/>
    <w:rsid w:val="004F32C1"/>
    <w:rsid w:val="00503D97"/>
    <w:rsid w:val="005073CC"/>
    <w:rsid w:val="00513896"/>
    <w:rsid w:val="00517991"/>
    <w:rsid w:val="00532123"/>
    <w:rsid w:val="00534449"/>
    <w:rsid w:val="0054352A"/>
    <w:rsid w:val="00545121"/>
    <w:rsid w:val="00554959"/>
    <w:rsid w:val="00555A29"/>
    <w:rsid w:val="00555D45"/>
    <w:rsid w:val="00565ECE"/>
    <w:rsid w:val="005671E8"/>
    <w:rsid w:val="00571790"/>
    <w:rsid w:val="0058046D"/>
    <w:rsid w:val="00581F5E"/>
    <w:rsid w:val="00582652"/>
    <w:rsid w:val="005835DF"/>
    <w:rsid w:val="0058433D"/>
    <w:rsid w:val="00587986"/>
    <w:rsid w:val="00597461"/>
    <w:rsid w:val="005B0C44"/>
    <w:rsid w:val="005B1750"/>
    <w:rsid w:val="005C22B3"/>
    <w:rsid w:val="005C5D0F"/>
    <w:rsid w:val="005D029B"/>
    <w:rsid w:val="005D2CE5"/>
    <w:rsid w:val="005D4E1E"/>
    <w:rsid w:val="005D6102"/>
    <w:rsid w:val="005D68E9"/>
    <w:rsid w:val="005E3F57"/>
    <w:rsid w:val="005E5EEE"/>
    <w:rsid w:val="005F5944"/>
    <w:rsid w:val="005F6F0D"/>
    <w:rsid w:val="005F719B"/>
    <w:rsid w:val="006000E5"/>
    <w:rsid w:val="00600C67"/>
    <w:rsid w:val="00601199"/>
    <w:rsid w:val="0060577E"/>
    <w:rsid w:val="006076AE"/>
    <w:rsid w:val="00610A21"/>
    <w:rsid w:val="00613337"/>
    <w:rsid w:val="00617583"/>
    <w:rsid w:val="006369FC"/>
    <w:rsid w:val="00636BD9"/>
    <w:rsid w:val="00637FA4"/>
    <w:rsid w:val="00640572"/>
    <w:rsid w:val="006419F5"/>
    <w:rsid w:val="0064535A"/>
    <w:rsid w:val="006542B3"/>
    <w:rsid w:val="00655744"/>
    <w:rsid w:val="00660433"/>
    <w:rsid w:val="006667A9"/>
    <w:rsid w:val="006716F7"/>
    <w:rsid w:val="006721C8"/>
    <w:rsid w:val="006724D3"/>
    <w:rsid w:val="006777B5"/>
    <w:rsid w:val="00687BAB"/>
    <w:rsid w:val="00690B9C"/>
    <w:rsid w:val="0069723D"/>
    <w:rsid w:val="006A0064"/>
    <w:rsid w:val="006A0477"/>
    <w:rsid w:val="006A0A31"/>
    <w:rsid w:val="006A7E64"/>
    <w:rsid w:val="006B457F"/>
    <w:rsid w:val="006B4D7C"/>
    <w:rsid w:val="006C104D"/>
    <w:rsid w:val="006E262E"/>
    <w:rsid w:val="006F1261"/>
    <w:rsid w:val="00706A20"/>
    <w:rsid w:val="007075EB"/>
    <w:rsid w:val="007221ED"/>
    <w:rsid w:val="0072311C"/>
    <w:rsid w:val="00730DAC"/>
    <w:rsid w:val="00736086"/>
    <w:rsid w:val="007406D3"/>
    <w:rsid w:val="0074162D"/>
    <w:rsid w:val="00741D19"/>
    <w:rsid w:val="0074619D"/>
    <w:rsid w:val="00752087"/>
    <w:rsid w:val="00753CB2"/>
    <w:rsid w:val="007567AD"/>
    <w:rsid w:val="0075730C"/>
    <w:rsid w:val="00761BA0"/>
    <w:rsid w:val="00761E39"/>
    <w:rsid w:val="00767801"/>
    <w:rsid w:val="00767A84"/>
    <w:rsid w:val="0077384C"/>
    <w:rsid w:val="0077792B"/>
    <w:rsid w:val="00785457"/>
    <w:rsid w:val="0079575A"/>
    <w:rsid w:val="00796064"/>
    <w:rsid w:val="007A29F0"/>
    <w:rsid w:val="007B0CD3"/>
    <w:rsid w:val="007B14EB"/>
    <w:rsid w:val="007B3358"/>
    <w:rsid w:val="007B60E0"/>
    <w:rsid w:val="007B624C"/>
    <w:rsid w:val="007C3A1D"/>
    <w:rsid w:val="007D505B"/>
    <w:rsid w:val="007D6E75"/>
    <w:rsid w:val="007E1BE5"/>
    <w:rsid w:val="007E476A"/>
    <w:rsid w:val="007F10DC"/>
    <w:rsid w:val="007F1BEB"/>
    <w:rsid w:val="007F1EB1"/>
    <w:rsid w:val="007F3AC1"/>
    <w:rsid w:val="007F5FE0"/>
    <w:rsid w:val="007F783A"/>
    <w:rsid w:val="00800455"/>
    <w:rsid w:val="00801F8D"/>
    <w:rsid w:val="008021F3"/>
    <w:rsid w:val="0081155C"/>
    <w:rsid w:val="008119A0"/>
    <w:rsid w:val="0081210F"/>
    <w:rsid w:val="00813A94"/>
    <w:rsid w:val="008145C6"/>
    <w:rsid w:val="0082606F"/>
    <w:rsid w:val="00842E1C"/>
    <w:rsid w:val="00843363"/>
    <w:rsid w:val="00846714"/>
    <w:rsid w:val="0085103B"/>
    <w:rsid w:val="008708CE"/>
    <w:rsid w:val="00881D0A"/>
    <w:rsid w:val="00886FDA"/>
    <w:rsid w:val="00897DA2"/>
    <w:rsid w:val="008A454B"/>
    <w:rsid w:val="008A7BB7"/>
    <w:rsid w:val="008B0FE7"/>
    <w:rsid w:val="008B389C"/>
    <w:rsid w:val="008B6D95"/>
    <w:rsid w:val="008C3413"/>
    <w:rsid w:val="008C4B9B"/>
    <w:rsid w:val="008C6182"/>
    <w:rsid w:val="008D020F"/>
    <w:rsid w:val="008D1669"/>
    <w:rsid w:val="008D4A7F"/>
    <w:rsid w:val="008D6990"/>
    <w:rsid w:val="008E0A9B"/>
    <w:rsid w:val="008E3AAE"/>
    <w:rsid w:val="008F3A4E"/>
    <w:rsid w:val="0090009E"/>
    <w:rsid w:val="00901303"/>
    <w:rsid w:val="00910116"/>
    <w:rsid w:val="00911FC6"/>
    <w:rsid w:val="009170C6"/>
    <w:rsid w:val="009172C1"/>
    <w:rsid w:val="00932DB8"/>
    <w:rsid w:val="00935C69"/>
    <w:rsid w:val="009370F1"/>
    <w:rsid w:val="00937288"/>
    <w:rsid w:val="0094370C"/>
    <w:rsid w:val="009450A6"/>
    <w:rsid w:val="009456FF"/>
    <w:rsid w:val="00950179"/>
    <w:rsid w:val="00950DBE"/>
    <w:rsid w:val="009511F3"/>
    <w:rsid w:val="00967E87"/>
    <w:rsid w:val="00970088"/>
    <w:rsid w:val="009735A2"/>
    <w:rsid w:val="009735B2"/>
    <w:rsid w:val="00976B00"/>
    <w:rsid w:val="0097752B"/>
    <w:rsid w:val="00980598"/>
    <w:rsid w:val="00981CD8"/>
    <w:rsid w:val="00983C17"/>
    <w:rsid w:val="009919E0"/>
    <w:rsid w:val="00993C5C"/>
    <w:rsid w:val="00996008"/>
    <w:rsid w:val="00996902"/>
    <w:rsid w:val="00997C00"/>
    <w:rsid w:val="009A1C74"/>
    <w:rsid w:val="009A5B02"/>
    <w:rsid w:val="009A64EC"/>
    <w:rsid w:val="009A765F"/>
    <w:rsid w:val="009B343A"/>
    <w:rsid w:val="009B3694"/>
    <w:rsid w:val="009B4976"/>
    <w:rsid w:val="009C4658"/>
    <w:rsid w:val="009C649F"/>
    <w:rsid w:val="009D3ACF"/>
    <w:rsid w:val="009D448B"/>
    <w:rsid w:val="009E6BC5"/>
    <w:rsid w:val="009F7325"/>
    <w:rsid w:val="00A05FF4"/>
    <w:rsid w:val="00A1302E"/>
    <w:rsid w:val="00A25127"/>
    <w:rsid w:val="00A5364B"/>
    <w:rsid w:val="00A57606"/>
    <w:rsid w:val="00A6124B"/>
    <w:rsid w:val="00A62D7C"/>
    <w:rsid w:val="00A655CE"/>
    <w:rsid w:val="00A7547D"/>
    <w:rsid w:val="00A76E40"/>
    <w:rsid w:val="00A95431"/>
    <w:rsid w:val="00A97A6F"/>
    <w:rsid w:val="00AB2FF7"/>
    <w:rsid w:val="00AC02C6"/>
    <w:rsid w:val="00AD0EFA"/>
    <w:rsid w:val="00AD2CE1"/>
    <w:rsid w:val="00AD53BF"/>
    <w:rsid w:val="00AE331C"/>
    <w:rsid w:val="00AE381B"/>
    <w:rsid w:val="00AF4FD6"/>
    <w:rsid w:val="00B01240"/>
    <w:rsid w:val="00B0215A"/>
    <w:rsid w:val="00B05EFD"/>
    <w:rsid w:val="00B07DF7"/>
    <w:rsid w:val="00B12FE8"/>
    <w:rsid w:val="00B1499F"/>
    <w:rsid w:val="00B23C47"/>
    <w:rsid w:val="00B23DC5"/>
    <w:rsid w:val="00B32C27"/>
    <w:rsid w:val="00B3337E"/>
    <w:rsid w:val="00B34C96"/>
    <w:rsid w:val="00B366C2"/>
    <w:rsid w:val="00B403A0"/>
    <w:rsid w:val="00B42578"/>
    <w:rsid w:val="00B53D67"/>
    <w:rsid w:val="00B552E2"/>
    <w:rsid w:val="00B55D86"/>
    <w:rsid w:val="00B569F5"/>
    <w:rsid w:val="00B570E3"/>
    <w:rsid w:val="00B62EFD"/>
    <w:rsid w:val="00B74301"/>
    <w:rsid w:val="00B85766"/>
    <w:rsid w:val="00B9264E"/>
    <w:rsid w:val="00B9302A"/>
    <w:rsid w:val="00B951FF"/>
    <w:rsid w:val="00BA38CA"/>
    <w:rsid w:val="00BB1D4C"/>
    <w:rsid w:val="00BB291A"/>
    <w:rsid w:val="00BB3C6D"/>
    <w:rsid w:val="00BC4937"/>
    <w:rsid w:val="00BC5B64"/>
    <w:rsid w:val="00BC5DA3"/>
    <w:rsid w:val="00BD12FB"/>
    <w:rsid w:val="00BD5D4F"/>
    <w:rsid w:val="00BD6FB7"/>
    <w:rsid w:val="00BE10B7"/>
    <w:rsid w:val="00BE71AB"/>
    <w:rsid w:val="00BE76B5"/>
    <w:rsid w:val="00BF207E"/>
    <w:rsid w:val="00BF2538"/>
    <w:rsid w:val="00BF3B55"/>
    <w:rsid w:val="00C16678"/>
    <w:rsid w:val="00C1690E"/>
    <w:rsid w:val="00C23629"/>
    <w:rsid w:val="00C419FC"/>
    <w:rsid w:val="00C511F5"/>
    <w:rsid w:val="00C51217"/>
    <w:rsid w:val="00C53A3C"/>
    <w:rsid w:val="00C560B4"/>
    <w:rsid w:val="00C6040A"/>
    <w:rsid w:val="00C651A9"/>
    <w:rsid w:val="00C66EF4"/>
    <w:rsid w:val="00C71449"/>
    <w:rsid w:val="00C76B63"/>
    <w:rsid w:val="00C86F42"/>
    <w:rsid w:val="00C900AE"/>
    <w:rsid w:val="00C902D1"/>
    <w:rsid w:val="00C96B46"/>
    <w:rsid w:val="00C97DF9"/>
    <w:rsid w:val="00CA282C"/>
    <w:rsid w:val="00CA3C96"/>
    <w:rsid w:val="00CA476B"/>
    <w:rsid w:val="00CA5076"/>
    <w:rsid w:val="00CA75FD"/>
    <w:rsid w:val="00CC0BBE"/>
    <w:rsid w:val="00CC687D"/>
    <w:rsid w:val="00CC69FC"/>
    <w:rsid w:val="00CD7135"/>
    <w:rsid w:val="00CE0248"/>
    <w:rsid w:val="00CE2CD7"/>
    <w:rsid w:val="00CE656E"/>
    <w:rsid w:val="00CE74D1"/>
    <w:rsid w:val="00CF28CE"/>
    <w:rsid w:val="00D0080F"/>
    <w:rsid w:val="00D03549"/>
    <w:rsid w:val="00D064F3"/>
    <w:rsid w:val="00D120AE"/>
    <w:rsid w:val="00D15AFC"/>
    <w:rsid w:val="00D24B5E"/>
    <w:rsid w:val="00D33BB8"/>
    <w:rsid w:val="00D40AEA"/>
    <w:rsid w:val="00D448B9"/>
    <w:rsid w:val="00D50D91"/>
    <w:rsid w:val="00D51A0E"/>
    <w:rsid w:val="00D52BF2"/>
    <w:rsid w:val="00D6462F"/>
    <w:rsid w:val="00D65122"/>
    <w:rsid w:val="00D7302C"/>
    <w:rsid w:val="00D74929"/>
    <w:rsid w:val="00D80F4D"/>
    <w:rsid w:val="00D83DB7"/>
    <w:rsid w:val="00D9036E"/>
    <w:rsid w:val="00D90BC6"/>
    <w:rsid w:val="00D9568D"/>
    <w:rsid w:val="00D966B4"/>
    <w:rsid w:val="00DA02BE"/>
    <w:rsid w:val="00DA5D69"/>
    <w:rsid w:val="00DB18DD"/>
    <w:rsid w:val="00DB2C05"/>
    <w:rsid w:val="00DB2F47"/>
    <w:rsid w:val="00DB4442"/>
    <w:rsid w:val="00DB50B1"/>
    <w:rsid w:val="00DC3DDB"/>
    <w:rsid w:val="00DD3491"/>
    <w:rsid w:val="00DD34EF"/>
    <w:rsid w:val="00DE2BDD"/>
    <w:rsid w:val="00DE5DD8"/>
    <w:rsid w:val="00DE7572"/>
    <w:rsid w:val="00DF6B85"/>
    <w:rsid w:val="00E01EBD"/>
    <w:rsid w:val="00E20FC3"/>
    <w:rsid w:val="00E21DC2"/>
    <w:rsid w:val="00E268DA"/>
    <w:rsid w:val="00E30958"/>
    <w:rsid w:val="00E35AB1"/>
    <w:rsid w:val="00E35F00"/>
    <w:rsid w:val="00E361FF"/>
    <w:rsid w:val="00E44348"/>
    <w:rsid w:val="00E52AAD"/>
    <w:rsid w:val="00E60500"/>
    <w:rsid w:val="00E64384"/>
    <w:rsid w:val="00E75B03"/>
    <w:rsid w:val="00E82A2D"/>
    <w:rsid w:val="00E83D68"/>
    <w:rsid w:val="00E928E9"/>
    <w:rsid w:val="00E96AB9"/>
    <w:rsid w:val="00EB1DAA"/>
    <w:rsid w:val="00EB5FE8"/>
    <w:rsid w:val="00EE254C"/>
    <w:rsid w:val="00EF3D1B"/>
    <w:rsid w:val="00EF53DB"/>
    <w:rsid w:val="00F021E7"/>
    <w:rsid w:val="00F11570"/>
    <w:rsid w:val="00F146FA"/>
    <w:rsid w:val="00F14F1A"/>
    <w:rsid w:val="00F23D34"/>
    <w:rsid w:val="00F24E31"/>
    <w:rsid w:val="00F252DA"/>
    <w:rsid w:val="00F301D1"/>
    <w:rsid w:val="00F31526"/>
    <w:rsid w:val="00F31E1C"/>
    <w:rsid w:val="00F3352F"/>
    <w:rsid w:val="00F4043F"/>
    <w:rsid w:val="00F4600D"/>
    <w:rsid w:val="00F56355"/>
    <w:rsid w:val="00F60065"/>
    <w:rsid w:val="00F6179E"/>
    <w:rsid w:val="00F622AB"/>
    <w:rsid w:val="00F72FDF"/>
    <w:rsid w:val="00F73A57"/>
    <w:rsid w:val="00F741DD"/>
    <w:rsid w:val="00F75BD8"/>
    <w:rsid w:val="00F76CF6"/>
    <w:rsid w:val="00F8169A"/>
    <w:rsid w:val="00F8394B"/>
    <w:rsid w:val="00F87940"/>
    <w:rsid w:val="00FB2D7A"/>
    <w:rsid w:val="00FB7B54"/>
    <w:rsid w:val="00FB7DF9"/>
    <w:rsid w:val="00FC5B50"/>
    <w:rsid w:val="00FD1D2A"/>
    <w:rsid w:val="00FD4D21"/>
    <w:rsid w:val="00FE2548"/>
    <w:rsid w:val="00FE74D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E35D7"/>
  <w15:docId w15:val="{5DF5F284-CB75-4CE5-882A-47CAA12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77E"/>
    <w:pPr>
      <w:spacing w:after="0" w:line="240" w:lineRule="auto"/>
    </w:pPr>
    <w:rPr>
      <w:rFonts w:ascii="Arial" w:hAnsi="Arial" w:cs="Arial"/>
      <w:b/>
      <w:bCs/>
      <w:color w:val="000000"/>
      <w:sz w:val="20"/>
      <w:szCs w:val="20"/>
      <w:u w:val="singl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0577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057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D3"/>
  </w:style>
  <w:style w:type="paragraph" w:styleId="BodyText2">
    <w:name w:val="Body Text 2"/>
    <w:basedOn w:val="Normal"/>
    <w:link w:val="BodyText2Char"/>
    <w:rsid w:val="00BE10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E10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6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62E2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2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8900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74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6032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8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7093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916</Words>
  <Characters>6591</Characters>
  <Application>Microsoft Office Word</Application>
  <DocSecurity>0</DocSecurity>
  <Lines>263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Daniel Thompson</cp:lastModifiedBy>
  <cp:revision>7</cp:revision>
  <cp:lastPrinted>2023-04-04T16:28:00Z</cp:lastPrinted>
  <dcterms:created xsi:type="dcterms:W3CDTF">2025-07-16T16:29:00Z</dcterms:created>
  <dcterms:modified xsi:type="dcterms:W3CDTF">2025-07-16T16:35:00Z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34d79cf947ec7a71a40196cde3b7df8a547c53251c2e40e2c8b93f13a0aad708</vt:lpwstr>
  </property>
</Properties>
</file>