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ED99D" w14:textId="77777777" w:rsidR="00D54BB0" w:rsidRPr="00D54BB0" w:rsidRDefault="00D54BB0" w:rsidP="00D54BB0">
      <w:pPr>
        <w:spacing w:after="0" w:line="240" w:lineRule="auto"/>
        <w:jc w:val="center"/>
        <w:rPr>
          <w:rFonts w:eastAsia="Times New Roman"/>
          <w:b/>
          <w:kern w:val="0"/>
          <w:sz w:val="52"/>
          <w:szCs w:val="52"/>
          <w14:ligatures w14:val="none"/>
        </w:rPr>
      </w:pPr>
    </w:p>
    <w:p w14:paraId="5EBF052B" w14:textId="77777777" w:rsidR="00D54BB0" w:rsidRPr="00D54BB0" w:rsidRDefault="00D54BB0" w:rsidP="00D54BB0">
      <w:pPr>
        <w:spacing w:after="0" w:line="240" w:lineRule="auto"/>
        <w:jc w:val="center"/>
        <w:rPr>
          <w:rFonts w:eastAsia="Times New Roman"/>
          <w:b/>
          <w:kern w:val="0"/>
          <w:sz w:val="52"/>
          <w:szCs w:val="52"/>
          <w14:ligatures w14:val="none"/>
        </w:rPr>
      </w:pPr>
    </w:p>
    <w:p w14:paraId="6136381B" w14:textId="77777777" w:rsidR="00D54BB0" w:rsidRPr="00D54BB0" w:rsidRDefault="00D54BB0" w:rsidP="00D54BB0">
      <w:pPr>
        <w:spacing w:after="0" w:line="240" w:lineRule="auto"/>
        <w:jc w:val="center"/>
        <w:rPr>
          <w:rFonts w:eastAsia="Times New Roman"/>
          <w:b/>
          <w:kern w:val="0"/>
          <w:sz w:val="52"/>
          <w:szCs w:val="52"/>
          <w14:ligatures w14:val="none"/>
        </w:rPr>
      </w:pPr>
    </w:p>
    <w:p w14:paraId="78135CD1" w14:textId="77777777" w:rsidR="00D54BB0" w:rsidRPr="00D54BB0" w:rsidRDefault="00D54BB0" w:rsidP="00D54BB0">
      <w:pPr>
        <w:spacing w:after="0" w:line="240" w:lineRule="auto"/>
        <w:jc w:val="center"/>
        <w:rPr>
          <w:rFonts w:eastAsia="Times New Roman"/>
          <w:b/>
          <w:kern w:val="0"/>
          <w:sz w:val="52"/>
          <w:szCs w:val="52"/>
          <w14:ligatures w14:val="none"/>
        </w:rPr>
      </w:pPr>
    </w:p>
    <w:p w14:paraId="19DCA52E" w14:textId="77777777" w:rsidR="00D54BB0" w:rsidRPr="00D54BB0" w:rsidRDefault="00D54BB0" w:rsidP="00D54BB0">
      <w:pPr>
        <w:spacing w:after="0" w:line="240" w:lineRule="auto"/>
        <w:jc w:val="center"/>
        <w:rPr>
          <w:rFonts w:eastAsia="Times New Roman"/>
          <w:b/>
          <w:kern w:val="0"/>
          <w:sz w:val="52"/>
          <w:szCs w:val="52"/>
          <w14:ligatures w14:val="none"/>
        </w:rPr>
      </w:pPr>
    </w:p>
    <w:p w14:paraId="40B994E0" w14:textId="77777777" w:rsidR="00D54BB0" w:rsidRPr="00D54BB0" w:rsidRDefault="00D54BB0" w:rsidP="00D54BB0">
      <w:pPr>
        <w:spacing w:after="0" w:line="240" w:lineRule="auto"/>
        <w:jc w:val="center"/>
        <w:rPr>
          <w:rFonts w:eastAsia="Times New Roman"/>
          <w:b/>
          <w:kern w:val="0"/>
          <w:sz w:val="52"/>
          <w:szCs w:val="52"/>
          <w14:ligatures w14:val="none"/>
        </w:rPr>
      </w:pPr>
    </w:p>
    <w:p w14:paraId="2A9133F0" w14:textId="77777777" w:rsidR="00D54BB0" w:rsidRPr="00D54BB0" w:rsidRDefault="00D54BB0" w:rsidP="00D54BB0">
      <w:pPr>
        <w:spacing w:after="0" w:line="240" w:lineRule="auto"/>
        <w:jc w:val="center"/>
        <w:rPr>
          <w:rFonts w:eastAsia="Times New Roman"/>
          <w:b/>
          <w:kern w:val="0"/>
          <w:sz w:val="52"/>
          <w:szCs w:val="52"/>
          <w14:ligatures w14:val="none"/>
        </w:rPr>
      </w:pPr>
    </w:p>
    <w:p w14:paraId="1F823A82" w14:textId="77777777" w:rsidR="00D54BB0" w:rsidRPr="00D54BB0" w:rsidRDefault="00D54BB0" w:rsidP="00D54BB0">
      <w:pPr>
        <w:spacing w:after="0" w:line="240" w:lineRule="auto"/>
        <w:jc w:val="center"/>
        <w:rPr>
          <w:rFonts w:eastAsia="+mn-ea"/>
          <w:b/>
          <w:bCs/>
          <w:kern w:val="24"/>
          <w:sz w:val="52"/>
          <w:szCs w:val="52"/>
          <w:lang w:eastAsia="en-CA"/>
          <w14:ligatures w14:val="none"/>
        </w:rPr>
      </w:pPr>
      <w:r w:rsidRPr="00D54BB0">
        <w:rPr>
          <w:rFonts w:eastAsia="+mn-ea" w:hint="cs"/>
          <w:b/>
          <w:bCs/>
          <w:kern w:val="24"/>
          <w:sz w:val="52"/>
          <w:szCs w:val="52"/>
          <w:lang w:eastAsia="en-CA"/>
          <w14:ligatures w14:val="none"/>
        </w:rPr>
        <w:t>Hedging Financial Risk Using Derivatives</w:t>
      </w:r>
    </w:p>
    <w:p w14:paraId="3BC11BB4" w14:textId="77777777" w:rsidR="00D54BB0" w:rsidRDefault="00D54BB0" w:rsidP="00D54BB0">
      <w:pPr>
        <w:spacing w:after="0" w:line="240" w:lineRule="auto"/>
        <w:jc w:val="center"/>
        <w:rPr>
          <w:rFonts w:eastAsia="Times New Roman"/>
          <w:b/>
          <w:kern w:val="0"/>
          <w:sz w:val="40"/>
          <w:szCs w:val="40"/>
          <w14:ligatures w14:val="none"/>
        </w:rPr>
      </w:pPr>
    </w:p>
    <w:p w14:paraId="030D7BDE" w14:textId="6C8008A4" w:rsidR="00D54BB0" w:rsidRPr="00D54BB0" w:rsidRDefault="00D54BB0" w:rsidP="00D54BB0">
      <w:pPr>
        <w:spacing w:after="0" w:line="240" w:lineRule="auto"/>
        <w:jc w:val="center"/>
        <w:rPr>
          <w:rFonts w:eastAsia="Times New Roman"/>
          <w:b/>
          <w:kern w:val="0"/>
          <w:sz w:val="40"/>
          <w:szCs w:val="40"/>
          <w14:ligatures w14:val="none"/>
        </w:rPr>
      </w:pPr>
      <w:r>
        <w:rPr>
          <w:rFonts w:eastAsia="Times New Roman"/>
          <w:b/>
          <w:kern w:val="0"/>
          <w:sz w:val="40"/>
          <w:szCs w:val="40"/>
          <w14:ligatures w14:val="none"/>
        </w:rPr>
        <w:t>Answer Keys</w:t>
      </w:r>
    </w:p>
    <w:p w14:paraId="16CFFBDA" w14:textId="77777777" w:rsidR="00D54BB0" w:rsidRPr="00D54BB0" w:rsidRDefault="00D54BB0" w:rsidP="00D54BB0">
      <w:pPr>
        <w:spacing w:after="0" w:line="240" w:lineRule="auto"/>
        <w:jc w:val="center"/>
        <w:rPr>
          <w:rFonts w:eastAsia="Times New Roman"/>
          <w:b/>
          <w:kern w:val="0"/>
          <w:sz w:val="40"/>
          <w:szCs w:val="40"/>
          <w14:ligatures w14:val="none"/>
        </w:rPr>
      </w:pPr>
    </w:p>
    <w:p w14:paraId="43FD8607" w14:textId="77777777" w:rsidR="00D54BB0" w:rsidRPr="00D54BB0" w:rsidRDefault="00D54BB0" w:rsidP="00D54BB0">
      <w:pPr>
        <w:rPr>
          <w:b/>
          <w:bCs/>
          <w:kern w:val="0"/>
          <w14:ligatures w14:val="none"/>
        </w:rPr>
      </w:pPr>
      <w:r w:rsidRPr="00D54BB0">
        <w:rPr>
          <w:b/>
          <w:bCs/>
          <w:kern w:val="0"/>
          <w14:ligatures w14:val="none"/>
        </w:rPr>
        <w:br w:type="page"/>
      </w:r>
    </w:p>
    <w:p w14:paraId="700B9E58" w14:textId="77777777" w:rsidR="00D54BB0" w:rsidRPr="00D54BB0" w:rsidRDefault="00D54BB0" w:rsidP="00D54BB0">
      <w:pPr>
        <w:spacing w:after="0" w:line="240" w:lineRule="auto"/>
        <w:rPr>
          <w:b/>
          <w:bCs/>
          <w:kern w:val="0"/>
          <w:sz w:val="28"/>
          <w14:ligatures w14:val="none"/>
        </w:rPr>
      </w:pPr>
    </w:p>
    <w:p w14:paraId="452CA888" w14:textId="77777777" w:rsidR="00D54BB0" w:rsidRPr="00D54BB0" w:rsidRDefault="00D54BB0" w:rsidP="00D54BB0">
      <w:pPr>
        <w:spacing w:after="0" w:line="240" w:lineRule="auto"/>
        <w:rPr>
          <w:b/>
          <w:bCs/>
          <w:kern w:val="0"/>
          <w:sz w:val="28"/>
          <w14:ligatures w14:val="none"/>
        </w:rPr>
      </w:pPr>
      <w:r w:rsidRPr="00D54BB0">
        <w:rPr>
          <w:b/>
          <w:bCs/>
          <w:kern w:val="0"/>
          <w:sz w:val="28"/>
          <w14:ligatures w14:val="none"/>
        </w:rPr>
        <w:t>Foreign Exchange Transactions at Haskell</w:t>
      </w:r>
    </w:p>
    <w:p w14:paraId="5D4A5500" w14:textId="77777777" w:rsidR="00D54BB0" w:rsidRPr="00D54BB0" w:rsidRDefault="00D54BB0" w:rsidP="00D54BB0">
      <w:pPr>
        <w:spacing w:after="0" w:line="240" w:lineRule="auto"/>
        <w:rPr>
          <w:kern w:val="0"/>
          <w:szCs w:val="24"/>
          <w14:ligatures w14:val="none"/>
        </w:rPr>
      </w:pPr>
    </w:p>
    <w:p w14:paraId="07ABDAE9" w14:textId="77777777" w:rsidR="00D54BB0" w:rsidRPr="00D54BB0" w:rsidRDefault="00D54BB0" w:rsidP="00D54BB0">
      <w:pPr>
        <w:numPr>
          <w:ilvl w:val="0"/>
          <w:numId w:val="7"/>
        </w:numPr>
        <w:spacing w:after="0" w:line="240" w:lineRule="auto"/>
        <w:ind w:left="360"/>
        <w:contextualSpacing/>
        <w:rPr>
          <w:kern w:val="0"/>
          <w:szCs w:val="24"/>
          <w14:ligatures w14:val="none"/>
        </w:rPr>
      </w:pPr>
      <w:r w:rsidRPr="00D54BB0">
        <w:rPr>
          <w:kern w:val="0"/>
          <w:szCs w:val="24"/>
          <w14:ligatures w14:val="none"/>
        </w:rPr>
        <w:t>(1,200,000) (1.3206) = CAD 1,584,720</w:t>
      </w:r>
    </w:p>
    <w:p w14:paraId="66F9E46C" w14:textId="77777777" w:rsidR="00D54BB0" w:rsidRPr="00D54BB0" w:rsidRDefault="00D54BB0" w:rsidP="00D54BB0">
      <w:pPr>
        <w:spacing w:after="0" w:line="240" w:lineRule="auto"/>
        <w:rPr>
          <w:kern w:val="0"/>
          <w:szCs w:val="24"/>
          <w14:ligatures w14:val="none"/>
        </w:rPr>
      </w:pPr>
    </w:p>
    <w:p w14:paraId="1BBD03E4" w14:textId="77777777" w:rsidR="00D54BB0" w:rsidRPr="00D54BB0" w:rsidRDefault="00D54BB0" w:rsidP="00D54BB0">
      <w:pPr>
        <w:numPr>
          <w:ilvl w:val="0"/>
          <w:numId w:val="7"/>
        </w:numPr>
        <w:spacing w:after="0" w:line="240" w:lineRule="auto"/>
        <w:ind w:left="360"/>
        <w:contextualSpacing/>
        <w:rPr>
          <w:kern w:val="0"/>
          <w:szCs w:val="24"/>
          <w14:ligatures w14:val="none"/>
        </w:rPr>
      </w:pPr>
      <w:r w:rsidRPr="00D54BB0">
        <w:rPr>
          <w:kern w:val="0"/>
          <w:szCs w:val="24"/>
          <w14:ligatures w14:val="none"/>
        </w:rPr>
        <w:t>(800,000) (1.3202) = CAD 1,056,160</w:t>
      </w:r>
    </w:p>
    <w:p w14:paraId="3D4AF095" w14:textId="77777777" w:rsidR="00D54BB0" w:rsidRPr="00D54BB0" w:rsidRDefault="00D54BB0" w:rsidP="00D54BB0">
      <w:pPr>
        <w:spacing w:after="0" w:line="240" w:lineRule="auto"/>
        <w:rPr>
          <w:kern w:val="0"/>
          <w:szCs w:val="24"/>
          <w14:ligatures w14:val="none"/>
        </w:rPr>
      </w:pPr>
    </w:p>
    <w:p w14:paraId="7EFC6B27" w14:textId="77777777" w:rsidR="00D54BB0" w:rsidRPr="00D54BB0" w:rsidRDefault="00D54BB0" w:rsidP="00D54BB0">
      <w:pPr>
        <w:numPr>
          <w:ilvl w:val="0"/>
          <w:numId w:val="7"/>
        </w:numPr>
        <w:spacing w:after="0" w:line="240" w:lineRule="auto"/>
        <w:ind w:left="360"/>
        <w:contextualSpacing/>
        <w:rPr>
          <w:kern w:val="0"/>
          <w:szCs w:val="24"/>
          <w14:ligatures w14:val="none"/>
        </w:rPr>
      </w:pPr>
      <w:r w:rsidRPr="00D54BB0">
        <w:rPr>
          <w:kern w:val="0"/>
          <w:szCs w:val="24"/>
          <w14:ligatures w14:val="none"/>
        </w:rPr>
        <w:t>Cheese purchase (1,200,000) (.0004) = CAD 480</w:t>
      </w:r>
    </w:p>
    <w:p w14:paraId="34A7AE01" w14:textId="77777777" w:rsidR="00D54BB0" w:rsidRPr="00D54BB0" w:rsidRDefault="00D54BB0" w:rsidP="00D54BB0">
      <w:pPr>
        <w:spacing w:after="0" w:line="240" w:lineRule="auto"/>
        <w:rPr>
          <w:kern w:val="0"/>
          <w:szCs w:val="24"/>
          <w14:ligatures w14:val="none"/>
        </w:rPr>
      </w:pPr>
    </w:p>
    <w:p w14:paraId="1FCB3980" w14:textId="77777777" w:rsidR="00D54BB0" w:rsidRPr="00D54BB0" w:rsidRDefault="00D54BB0" w:rsidP="00D54BB0">
      <w:pPr>
        <w:spacing w:after="0" w:line="240" w:lineRule="auto"/>
        <w:ind w:firstLine="360"/>
        <w:rPr>
          <w:kern w:val="0"/>
          <w:szCs w:val="24"/>
          <w14:ligatures w14:val="none"/>
        </w:rPr>
      </w:pPr>
      <w:r w:rsidRPr="00D54BB0">
        <w:rPr>
          <w:kern w:val="0"/>
          <w:szCs w:val="24"/>
          <w14:ligatures w14:val="none"/>
        </w:rPr>
        <w:t>Cheese spread revenue (800,000) (.0004) = CAD 320</w:t>
      </w:r>
    </w:p>
    <w:p w14:paraId="5269B4DF" w14:textId="77777777" w:rsidR="00D54BB0" w:rsidRPr="00D54BB0" w:rsidRDefault="00D54BB0" w:rsidP="00D54BB0">
      <w:pPr>
        <w:spacing w:after="0" w:line="240" w:lineRule="auto"/>
        <w:rPr>
          <w:kern w:val="0"/>
          <w:szCs w:val="24"/>
          <w14:ligatures w14:val="none"/>
        </w:rPr>
      </w:pPr>
    </w:p>
    <w:p w14:paraId="3C4CB2E4" w14:textId="61ED3E27" w:rsidR="00D54BB0" w:rsidRPr="00D54BB0" w:rsidRDefault="00D54BB0" w:rsidP="00827649">
      <w:pPr>
        <w:numPr>
          <w:ilvl w:val="0"/>
          <w:numId w:val="7"/>
        </w:numPr>
        <w:spacing w:after="0" w:line="240" w:lineRule="auto"/>
        <w:ind w:left="360" w:right="-558"/>
        <w:contextualSpacing/>
        <w:rPr>
          <w:kern w:val="0"/>
          <w:szCs w:val="24"/>
          <w14:ligatures w14:val="none"/>
        </w:rPr>
      </w:pPr>
      <w:r w:rsidRPr="00D54BB0">
        <w:rPr>
          <w:kern w:val="0"/>
          <w:szCs w:val="24"/>
          <w14:ligatures w14:val="none"/>
        </w:rPr>
        <w:t xml:space="preserve">This is a direct quote.  </w:t>
      </w:r>
      <w:r w:rsidRPr="00D54BB0">
        <w:rPr>
          <w:rFonts w:hint="cs"/>
          <w:kern w:val="0"/>
          <w:szCs w:val="24"/>
          <w14:ligatures w14:val="none"/>
        </w:rPr>
        <w:t>The domestic country’s currency</w:t>
      </w:r>
      <w:r w:rsidRPr="00D54BB0">
        <w:rPr>
          <w:kern w:val="0"/>
          <w:szCs w:val="24"/>
          <w14:ligatures w14:val="none"/>
        </w:rPr>
        <w:t xml:space="preserve"> (CAD)</w:t>
      </w:r>
      <w:r w:rsidRPr="00D54BB0">
        <w:rPr>
          <w:rFonts w:hint="cs"/>
          <w:kern w:val="0"/>
          <w:szCs w:val="24"/>
          <w14:ligatures w14:val="none"/>
        </w:rPr>
        <w:t xml:space="preserve"> is the quote currency (numerator)</w:t>
      </w:r>
      <w:r w:rsidR="00ED7C0E">
        <w:rPr>
          <w:kern w:val="0"/>
          <w:szCs w:val="24"/>
          <w14:ligatures w14:val="none"/>
        </w:rPr>
        <w:t>,</w:t>
      </w:r>
      <w:r w:rsidRPr="00D54BB0">
        <w:rPr>
          <w:rFonts w:hint="cs"/>
          <w:kern w:val="0"/>
          <w:szCs w:val="24"/>
          <w14:ligatures w14:val="none"/>
        </w:rPr>
        <w:t xml:space="preserve"> and the foreign currency</w:t>
      </w:r>
      <w:r w:rsidRPr="00D54BB0">
        <w:rPr>
          <w:kern w:val="0"/>
          <w:szCs w:val="24"/>
          <w14:ligatures w14:val="none"/>
        </w:rPr>
        <w:t xml:space="preserve"> (USD)</w:t>
      </w:r>
      <w:r w:rsidRPr="00D54BB0">
        <w:rPr>
          <w:rFonts w:hint="cs"/>
          <w:kern w:val="0"/>
          <w:szCs w:val="24"/>
          <w14:ligatures w14:val="none"/>
        </w:rPr>
        <w:t xml:space="preserve"> is the base currency (denominator).  This ratio measures what a domestic </w:t>
      </w:r>
      <w:r w:rsidRPr="00D54BB0">
        <w:rPr>
          <w:kern w:val="0"/>
          <w:szCs w:val="24"/>
          <w14:ligatures w14:val="none"/>
        </w:rPr>
        <w:t xml:space="preserve">Canadian </w:t>
      </w:r>
      <w:r w:rsidRPr="00D54BB0">
        <w:rPr>
          <w:rFonts w:hint="cs"/>
          <w:kern w:val="0"/>
          <w:szCs w:val="24"/>
          <w14:ligatures w14:val="none"/>
        </w:rPr>
        <w:t xml:space="preserve">trader would pay </w:t>
      </w:r>
      <w:r w:rsidRPr="00D54BB0">
        <w:rPr>
          <w:kern w:val="0"/>
          <w:szCs w:val="24"/>
          <w14:ligatures w14:val="none"/>
        </w:rPr>
        <w:t xml:space="preserve">in CAD </w:t>
      </w:r>
      <w:r w:rsidRPr="00D54BB0">
        <w:rPr>
          <w:rFonts w:hint="cs"/>
          <w:kern w:val="0"/>
          <w:szCs w:val="24"/>
          <w14:ligatures w14:val="none"/>
        </w:rPr>
        <w:t xml:space="preserve">for one </w:t>
      </w:r>
      <w:r w:rsidRPr="00D54BB0">
        <w:rPr>
          <w:kern w:val="0"/>
          <w:szCs w:val="24"/>
          <w14:ligatures w14:val="none"/>
        </w:rPr>
        <w:t xml:space="preserve">USD </w:t>
      </w:r>
      <w:r w:rsidRPr="00D54BB0">
        <w:rPr>
          <w:rFonts w:hint="cs"/>
          <w:kern w:val="0"/>
          <w:szCs w:val="24"/>
          <w14:ligatures w14:val="none"/>
        </w:rPr>
        <w:t xml:space="preserve">or receive </w:t>
      </w:r>
      <w:r w:rsidRPr="00D54BB0">
        <w:rPr>
          <w:kern w:val="0"/>
          <w:szCs w:val="24"/>
          <w14:ligatures w14:val="none"/>
        </w:rPr>
        <w:t xml:space="preserve">in CAD </w:t>
      </w:r>
      <w:r w:rsidRPr="00D54BB0">
        <w:rPr>
          <w:rFonts w:hint="cs"/>
          <w:kern w:val="0"/>
          <w:szCs w:val="24"/>
          <w14:ligatures w14:val="none"/>
        </w:rPr>
        <w:t xml:space="preserve">for one </w:t>
      </w:r>
      <w:r w:rsidRPr="00D54BB0">
        <w:rPr>
          <w:kern w:val="0"/>
          <w:szCs w:val="24"/>
          <w14:ligatures w14:val="none"/>
        </w:rPr>
        <w:t>USD</w:t>
      </w:r>
      <w:r w:rsidRPr="00D54BB0">
        <w:rPr>
          <w:rFonts w:hint="cs"/>
          <w:kern w:val="0"/>
          <w:szCs w:val="24"/>
          <w14:ligatures w14:val="none"/>
        </w:rPr>
        <w:t xml:space="preserve">.  </w:t>
      </w:r>
    </w:p>
    <w:p w14:paraId="6577B389" w14:textId="77777777" w:rsidR="00D54BB0" w:rsidRPr="00D54BB0" w:rsidRDefault="00D54BB0" w:rsidP="00D54BB0">
      <w:pPr>
        <w:spacing w:after="0" w:line="240" w:lineRule="auto"/>
        <w:rPr>
          <w:b/>
          <w:bCs/>
          <w:kern w:val="0"/>
          <w:sz w:val="28"/>
          <w14:ligatures w14:val="none"/>
        </w:rPr>
      </w:pPr>
    </w:p>
    <w:p w14:paraId="3C2F7F63" w14:textId="77777777" w:rsidR="00D54BB0" w:rsidRPr="00D54BB0" w:rsidRDefault="00D54BB0" w:rsidP="00D54BB0">
      <w:pPr>
        <w:rPr>
          <w:b/>
          <w:bCs/>
          <w:kern w:val="0"/>
          <w:sz w:val="28"/>
          <w14:ligatures w14:val="none"/>
        </w:rPr>
      </w:pPr>
      <w:r w:rsidRPr="00D54BB0">
        <w:rPr>
          <w:b/>
          <w:bCs/>
          <w:kern w:val="0"/>
          <w:sz w:val="28"/>
          <w14:ligatures w14:val="none"/>
        </w:rPr>
        <w:br w:type="page"/>
      </w:r>
    </w:p>
    <w:p w14:paraId="220CAFBB" w14:textId="77777777" w:rsidR="00D54BB0" w:rsidRDefault="00D54BB0" w:rsidP="00D54BB0">
      <w:pPr>
        <w:spacing w:after="0" w:line="240" w:lineRule="auto"/>
        <w:rPr>
          <w:kern w:val="0"/>
          <w:szCs w:val="24"/>
          <w14:ligatures w14:val="none"/>
        </w:rPr>
      </w:pPr>
    </w:p>
    <w:p w14:paraId="2FBCEA24" w14:textId="04CF5C18" w:rsidR="00D54BB0" w:rsidRPr="00D54BB0" w:rsidRDefault="00D54BB0" w:rsidP="00D54BB0">
      <w:pPr>
        <w:spacing w:after="0" w:line="240" w:lineRule="auto"/>
        <w:rPr>
          <w:b/>
          <w:bCs/>
          <w:kern w:val="0"/>
          <w:sz w:val="28"/>
          <w14:ligatures w14:val="none"/>
        </w:rPr>
      </w:pPr>
      <w:r w:rsidRPr="00D54BB0">
        <w:rPr>
          <w:b/>
          <w:bCs/>
          <w:kern w:val="0"/>
          <w:sz w:val="28"/>
          <w14:ligatures w14:val="none"/>
        </w:rPr>
        <w:t xml:space="preserve">Foreign Exchange Transactions at Knight </w:t>
      </w:r>
    </w:p>
    <w:p w14:paraId="7D6F3C6B" w14:textId="77777777" w:rsidR="00D54BB0" w:rsidRPr="00D54BB0" w:rsidRDefault="00D54BB0" w:rsidP="00D54BB0">
      <w:pPr>
        <w:spacing w:after="0" w:line="240" w:lineRule="auto"/>
        <w:rPr>
          <w:kern w:val="0"/>
          <w:szCs w:val="24"/>
          <w14:ligatures w14:val="none"/>
        </w:rPr>
      </w:pPr>
    </w:p>
    <w:p w14:paraId="2F6DD0CE" w14:textId="77777777" w:rsidR="00D54BB0" w:rsidRPr="00D54BB0" w:rsidRDefault="00D54BB0" w:rsidP="00D54BB0">
      <w:pPr>
        <w:numPr>
          <w:ilvl w:val="0"/>
          <w:numId w:val="8"/>
        </w:numPr>
        <w:spacing w:after="0" w:line="240" w:lineRule="auto"/>
        <w:ind w:left="360"/>
        <w:contextualSpacing/>
        <w:rPr>
          <w:kern w:val="0"/>
          <w:szCs w:val="24"/>
          <w14:ligatures w14:val="none"/>
        </w:rPr>
      </w:pPr>
      <w:r w:rsidRPr="00D54BB0">
        <w:rPr>
          <w:kern w:val="0"/>
          <w:szCs w:val="24"/>
          <w14:ligatures w14:val="none"/>
        </w:rPr>
        <w:t>(30,500,000) (.73720) = USD 22,484,600</w:t>
      </w:r>
    </w:p>
    <w:p w14:paraId="22F03319" w14:textId="77777777" w:rsidR="00D54BB0" w:rsidRPr="00D54BB0" w:rsidRDefault="00D54BB0" w:rsidP="00D54BB0">
      <w:pPr>
        <w:spacing w:after="0" w:line="240" w:lineRule="auto"/>
        <w:rPr>
          <w:b/>
          <w:bCs/>
          <w:kern w:val="0"/>
          <w:sz w:val="28"/>
          <w14:ligatures w14:val="none"/>
        </w:rPr>
      </w:pPr>
    </w:p>
    <w:p w14:paraId="73E50BC3" w14:textId="77777777" w:rsidR="00D54BB0" w:rsidRPr="00D54BB0" w:rsidRDefault="00D54BB0" w:rsidP="00D54BB0">
      <w:pPr>
        <w:rPr>
          <w:b/>
          <w:bCs/>
          <w:kern w:val="0"/>
          <w:sz w:val="28"/>
          <w14:ligatures w14:val="none"/>
        </w:rPr>
      </w:pPr>
      <w:r w:rsidRPr="00D54BB0">
        <w:rPr>
          <w:b/>
          <w:bCs/>
          <w:kern w:val="0"/>
          <w:sz w:val="28"/>
          <w14:ligatures w14:val="none"/>
        </w:rPr>
        <w:br w:type="page"/>
      </w:r>
    </w:p>
    <w:p w14:paraId="35013532" w14:textId="77777777" w:rsidR="00D54BB0" w:rsidRPr="00D54BB0" w:rsidRDefault="00D54BB0" w:rsidP="00D54BB0">
      <w:pPr>
        <w:spacing w:after="0" w:line="240" w:lineRule="auto"/>
        <w:rPr>
          <w:b/>
          <w:bCs/>
          <w:kern w:val="0"/>
          <w:sz w:val="28"/>
          <w14:ligatures w14:val="none"/>
        </w:rPr>
      </w:pPr>
    </w:p>
    <w:p w14:paraId="5D0FF558" w14:textId="77777777" w:rsidR="00D54BB0" w:rsidRPr="00D54BB0" w:rsidRDefault="00D54BB0" w:rsidP="00D54BB0">
      <w:pPr>
        <w:spacing w:after="0" w:line="240" w:lineRule="auto"/>
        <w:rPr>
          <w:b/>
          <w:bCs/>
          <w:kern w:val="0"/>
          <w:sz w:val="28"/>
          <w14:ligatures w14:val="none"/>
        </w:rPr>
      </w:pPr>
      <w:r w:rsidRPr="00D54BB0">
        <w:rPr>
          <w:b/>
          <w:bCs/>
          <w:kern w:val="0"/>
          <w:sz w:val="28"/>
          <w14:ligatures w14:val="none"/>
        </w:rPr>
        <w:t>Foreign Exchange Transactions at Koala</w:t>
      </w:r>
    </w:p>
    <w:p w14:paraId="48441EBD" w14:textId="77777777" w:rsidR="00D54BB0" w:rsidRPr="00D54BB0" w:rsidRDefault="00D54BB0" w:rsidP="00D54BB0">
      <w:pPr>
        <w:spacing w:after="0" w:line="240" w:lineRule="auto"/>
        <w:rPr>
          <w:kern w:val="0"/>
          <w:szCs w:val="24"/>
          <w14:ligatures w14:val="none"/>
        </w:rPr>
      </w:pPr>
    </w:p>
    <w:p w14:paraId="5BF6DF17" w14:textId="3EF13528" w:rsidR="00D54BB0" w:rsidRPr="00827649" w:rsidRDefault="00D54BB0" w:rsidP="00827649">
      <w:pPr>
        <w:pStyle w:val="ListParagraph"/>
        <w:numPr>
          <w:ilvl w:val="0"/>
          <w:numId w:val="35"/>
        </w:numPr>
        <w:spacing w:after="0" w:line="240" w:lineRule="auto"/>
        <w:ind w:left="360"/>
        <w:rPr>
          <w:szCs w:val="24"/>
        </w:rPr>
      </w:pPr>
      <w:r w:rsidRPr="00827649">
        <w:rPr>
          <w:szCs w:val="24"/>
        </w:rPr>
        <w:t>(CAD / USD) (USD / AUD) = CAD / AUD</w:t>
      </w:r>
    </w:p>
    <w:p w14:paraId="76448D64" w14:textId="77777777" w:rsidR="00827649" w:rsidRPr="00827649" w:rsidRDefault="00827649" w:rsidP="00827649">
      <w:pPr>
        <w:pStyle w:val="ListParagraph"/>
        <w:spacing w:after="0" w:line="240" w:lineRule="auto"/>
        <w:rPr>
          <w:szCs w:val="24"/>
        </w:rPr>
      </w:pPr>
    </w:p>
    <w:p w14:paraId="0CBD12CC" w14:textId="34D49F7A" w:rsidR="00D54BB0" w:rsidRPr="00D54BB0" w:rsidRDefault="00D54BB0" w:rsidP="00D54BB0">
      <w:pPr>
        <w:spacing w:after="0" w:line="240" w:lineRule="auto"/>
        <w:ind w:left="360"/>
        <w:jc w:val="both"/>
        <w:rPr>
          <w:kern w:val="0"/>
          <w:szCs w:val="24"/>
          <w14:ligatures w14:val="none"/>
        </w:rPr>
      </w:pPr>
      <w:r w:rsidRPr="00D54BB0">
        <w:rPr>
          <w:kern w:val="0"/>
          <w:szCs w:val="24"/>
          <w14:ligatures w14:val="none"/>
        </w:rPr>
        <w:t>(1.2486) (</w:t>
      </w:r>
      <m:oMath>
        <m:f>
          <m:fPr>
            <m:ctrlPr>
              <w:rPr>
                <w:rFonts w:ascii="Cambria Math" w:hAnsi="Cambria Math"/>
                <w:i/>
                <w:kern w:val="0"/>
                <w:szCs w:val="24"/>
                <w14:ligatures w14:val="none"/>
              </w:rPr>
            </m:ctrlPr>
          </m:fPr>
          <m:num>
            <m:r>
              <w:rPr>
                <w:rFonts w:ascii="Cambria Math" w:hAnsi="Cambria Math"/>
                <w:kern w:val="0"/>
                <w:szCs w:val="24"/>
                <w14:ligatures w14:val="none"/>
              </w:rPr>
              <m:t>1</m:t>
            </m:r>
          </m:num>
          <m:den>
            <m:r>
              <w:rPr>
                <w:rFonts w:ascii="Cambria Math" w:hAnsi="Cambria Math"/>
                <w:kern w:val="0"/>
                <w:szCs w:val="24"/>
                <w14:ligatures w14:val="none"/>
              </w:rPr>
              <m:t>1.2915</m:t>
            </m:r>
          </m:den>
        </m:f>
      </m:oMath>
      <w:r w:rsidRPr="00D54BB0">
        <w:rPr>
          <w:rFonts w:eastAsiaTheme="minorEastAsia"/>
          <w:kern w:val="0"/>
          <w:szCs w:val="24"/>
          <w14:ligatures w14:val="none"/>
        </w:rPr>
        <w:t>) = 0.9668</w:t>
      </w:r>
      <w:r w:rsidRPr="00D54BB0">
        <w:rPr>
          <w:kern w:val="0"/>
          <w:szCs w:val="24"/>
          <w14:ligatures w14:val="none"/>
        </w:rPr>
        <w:br w:type="page"/>
      </w:r>
    </w:p>
    <w:p w14:paraId="6474DAE2" w14:textId="77777777" w:rsidR="00D54BB0" w:rsidRPr="00D54BB0" w:rsidRDefault="00D54BB0" w:rsidP="00D54BB0">
      <w:pPr>
        <w:spacing w:after="0" w:line="240" w:lineRule="auto"/>
        <w:rPr>
          <w:kern w:val="0"/>
          <w14:ligatures w14:val="none"/>
        </w:rPr>
      </w:pPr>
    </w:p>
    <w:p w14:paraId="71FE00DE" w14:textId="77777777" w:rsidR="00D54BB0" w:rsidRPr="00D54BB0" w:rsidRDefault="00D54BB0" w:rsidP="00D54BB0">
      <w:pPr>
        <w:spacing w:after="0" w:line="240" w:lineRule="auto"/>
        <w:rPr>
          <w:b/>
          <w:bCs/>
          <w:kern w:val="0"/>
          <w:sz w:val="28"/>
          <w14:ligatures w14:val="none"/>
        </w:rPr>
      </w:pPr>
      <w:r w:rsidRPr="00D54BB0">
        <w:rPr>
          <w:b/>
          <w:bCs/>
          <w:kern w:val="0"/>
          <w:sz w:val="28"/>
          <w14:ligatures w14:val="none"/>
        </w:rPr>
        <w:t>Transaction Risk</w:t>
      </w:r>
    </w:p>
    <w:p w14:paraId="38742CA6" w14:textId="77777777" w:rsidR="00D54BB0" w:rsidRPr="00D54BB0" w:rsidRDefault="00D54BB0" w:rsidP="00D54BB0">
      <w:pPr>
        <w:spacing w:after="0" w:line="240" w:lineRule="auto"/>
        <w:rPr>
          <w:kern w:val="0"/>
          <w:szCs w:val="24"/>
          <w14:ligatures w14:val="none"/>
        </w:rPr>
      </w:pPr>
    </w:p>
    <w:p w14:paraId="5BE1BAA3" w14:textId="77777777" w:rsidR="00D54BB0" w:rsidRPr="00D54BB0" w:rsidRDefault="00D54BB0" w:rsidP="00D54BB0">
      <w:pPr>
        <w:spacing w:after="0" w:line="240" w:lineRule="auto"/>
        <w:rPr>
          <w:kern w:val="0"/>
          <w:szCs w:val="24"/>
          <w14:ligatures w14:val="none"/>
        </w:rPr>
      </w:pPr>
      <w:r w:rsidRPr="00D54BB0">
        <w:rPr>
          <w:rFonts w:hint="cs"/>
          <w:kern w:val="0"/>
          <w:szCs w:val="24"/>
          <w14:ligatures w14:val="none"/>
        </w:rPr>
        <w:t>1.</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440"/>
        <w:gridCol w:w="3510"/>
        <w:gridCol w:w="2070"/>
        <w:gridCol w:w="2070"/>
      </w:tblGrid>
      <w:tr w:rsidR="00D54BB0" w:rsidRPr="00D54BB0" w14:paraId="4778D989" w14:textId="77777777" w:rsidTr="00291D6C">
        <w:tc>
          <w:tcPr>
            <w:tcW w:w="1980" w:type="dxa"/>
            <w:gridSpan w:val="2"/>
          </w:tcPr>
          <w:p w14:paraId="7DC1F35A" w14:textId="77777777" w:rsidR="00D54BB0" w:rsidRPr="00D54BB0" w:rsidRDefault="00D54BB0" w:rsidP="00D54BB0">
            <w:pPr>
              <w:widowControl w:val="0"/>
              <w:rPr>
                <w:szCs w:val="24"/>
              </w:rPr>
            </w:pPr>
            <w:r w:rsidRPr="00D54BB0">
              <w:rPr>
                <w:rFonts w:hint="cs"/>
                <w:szCs w:val="24"/>
              </w:rPr>
              <w:t>November 1</w:t>
            </w:r>
          </w:p>
        </w:tc>
        <w:tc>
          <w:tcPr>
            <w:tcW w:w="3510" w:type="dxa"/>
          </w:tcPr>
          <w:p w14:paraId="14A1B25E" w14:textId="77777777" w:rsidR="00D54BB0" w:rsidRPr="00D54BB0" w:rsidRDefault="00D54BB0" w:rsidP="00D54BB0">
            <w:pPr>
              <w:widowControl w:val="0"/>
              <w:rPr>
                <w:szCs w:val="24"/>
              </w:rPr>
            </w:pPr>
            <w:r w:rsidRPr="00D54BB0">
              <w:rPr>
                <w:rFonts w:hint="cs"/>
                <w:szCs w:val="24"/>
              </w:rPr>
              <w:t>Purchases</w:t>
            </w:r>
          </w:p>
        </w:tc>
        <w:tc>
          <w:tcPr>
            <w:tcW w:w="2070" w:type="dxa"/>
          </w:tcPr>
          <w:p w14:paraId="1A447E91" w14:textId="77777777" w:rsidR="00D54BB0" w:rsidRPr="00D54BB0" w:rsidRDefault="00D54BB0" w:rsidP="00D54BB0">
            <w:pPr>
              <w:widowControl w:val="0"/>
              <w:jc w:val="right"/>
              <w:rPr>
                <w:szCs w:val="24"/>
              </w:rPr>
            </w:pPr>
            <w:r w:rsidRPr="00D54BB0">
              <w:rPr>
                <w:rFonts w:hint="cs"/>
                <w:szCs w:val="24"/>
              </w:rPr>
              <w:t xml:space="preserve"> CAD 165,506.25</w:t>
            </w:r>
          </w:p>
        </w:tc>
        <w:tc>
          <w:tcPr>
            <w:tcW w:w="2070" w:type="dxa"/>
          </w:tcPr>
          <w:p w14:paraId="50B83FEA" w14:textId="77777777" w:rsidR="00D54BB0" w:rsidRPr="00D54BB0" w:rsidRDefault="00D54BB0" w:rsidP="00D54BB0">
            <w:pPr>
              <w:widowControl w:val="0"/>
              <w:jc w:val="right"/>
              <w:rPr>
                <w:szCs w:val="24"/>
              </w:rPr>
            </w:pPr>
          </w:p>
        </w:tc>
      </w:tr>
      <w:tr w:rsidR="00D54BB0" w:rsidRPr="00D54BB0" w14:paraId="639F20C0" w14:textId="77777777" w:rsidTr="00291D6C">
        <w:tc>
          <w:tcPr>
            <w:tcW w:w="1980" w:type="dxa"/>
            <w:gridSpan w:val="2"/>
          </w:tcPr>
          <w:p w14:paraId="023E3B55" w14:textId="77777777" w:rsidR="00D54BB0" w:rsidRPr="00D54BB0" w:rsidRDefault="00D54BB0" w:rsidP="00D54BB0">
            <w:pPr>
              <w:widowControl w:val="0"/>
              <w:rPr>
                <w:szCs w:val="24"/>
              </w:rPr>
            </w:pPr>
          </w:p>
        </w:tc>
        <w:tc>
          <w:tcPr>
            <w:tcW w:w="3510" w:type="dxa"/>
          </w:tcPr>
          <w:p w14:paraId="2876E833" w14:textId="77777777" w:rsidR="00D54BB0" w:rsidRPr="00D54BB0" w:rsidRDefault="00D54BB0" w:rsidP="00D54BB0">
            <w:pPr>
              <w:widowControl w:val="0"/>
              <w:rPr>
                <w:szCs w:val="24"/>
              </w:rPr>
            </w:pPr>
            <w:r w:rsidRPr="00D54BB0">
              <w:rPr>
                <w:rFonts w:hint="cs"/>
                <w:szCs w:val="24"/>
              </w:rPr>
              <w:t xml:space="preserve">    </w:t>
            </w:r>
            <w:r w:rsidRPr="00D54BB0">
              <w:rPr>
                <w:rFonts w:hint="cs"/>
                <w:szCs w:val="24"/>
                <w:vertAlign w:val="superscript"/>
              </w:rPr>
              <w:t>1</w:t>
            </w:r>
            <w:r w:rsidRPr="00D54BB0">
              <w:rPr>
                <w:rFonts w:hint="cs"/>
                <w:szCs w:val="24"/>
              </w:rPr>
              <w:t>Accounts payable</w:t>
            </w:r>
          </w:p>
        </w:tc>
        <w:tc>
          <w:tcPr>
            <w:tcW w:w="2070" w:type="dxa"/>
          </w:tcPr>
          <w:p w14:paraId="74B6A878" w14:textId="77777777" w:rsidR="00D54BB0" w:rsidRPr="00D54BB0" w:rsidRDefault="00D54BB0" w:rsidP="00D54BB0">
            <w:pPr>
              <w:widowControl w:val="0"/>
              <w:jc w:val="right"/>
              <w:rPr>
                <w:szCs w:val="24"/>
              </w:rPr>
            </w:pPr>
          </w:p>
        </w:tc>
        <w:tc>
          <w:tcPr>
            <w:tcW w:w="2070" w:type="dxa"/>
          </w:tcPr>
          <w:p w14:paraId="1E6A006D" w14:textId="77777777" w:rsidR="00D54BB0" w:rsidRPr="00D54BB0" w:rsidRDefault="00D54BB0" w:rsidP="00D54BB0">
            <w:pPr>
              <w:widowControl w:val="0"/>
              <w:jc w:val="right"/>
              <w:rPr>
                <w:szCs w:val="24"/>
              </w:rPr>
            </w:pPr>
            <w:r w:rsidRPr="00D54BB0">
              <w:rPr>
                <w:rFonts w:hint="cs"/>
                <w:szCs w:val="24"/>
              </w:rPr>
              <w:t>CAD 165,506.25</w:t>
            </w:r>
          </w:p>
        </w:tc>
      </w:tr>
      <w:tr w:rsidR="00D54BB0" w:rsidRPr="00D54BB0" w14:paraId="3E65E61B" w14:textId="77777777" w:rsidTr="00291D6C">
        <w:tc>
          <w:tcPr>
            <w:tcW w:w="1980" w:type="dxa"/>
            <w:gridSpan w:val="2"/>
          </w:tcPr>
          <w:p w14:paraId="6AB846B4" w14:textId="77777777" w:rsidR="00D54BB0" w:rsidRPr="00D54BB0" w:rsidRDefault="00D54BB0" w:rsidP="00D54BB0">
            <w:pPr>
              <w:widowControl w:val="0"/>
              <w:rPr>
                <w:szCs w:val="24"/>
              </w:rPr>
            </w:pPr>
          </w:p>
        </w:tc>
        <w:tc>
          <w:tcPr>
            <w:tcW w:w="3510" w:type="dxa"/>
          </w:tcPr>
          <w:p w14:paraId="3A7D693E" w14:textId="77777777" w:rsidR="00D54BB0" w:rsidRPr="00D54BB0" w:rsidRDefault="00D54BB0" w:rsidP="00D54BB0">
            <w:pPr>
              <w:widowControl w:val="0"/>
              <w:rPr>
                <w:szCs w:val="24"/>
              </w:rPr>
            </w:pPr>
            <w:r w:rsidRPr="00D54BB0">
              <w:rPr>
                <w:rFonts w:hint="cs"/>
                <w:szCs w:val="24"/>
                <w:vertAlign w:val="superscript"/>
              </w:rPr>
              <w:t>1</w:t>
            </w:r>
            <w:r w:rsidRPr="00D54BB0">
              <w:rPr>
                <w:rFonts w:hint="cs"/>
                <w:szCs w:val="24"/>
              </w:rPr>
              <w:t>(125,000) (1.32405)</w:t>
            </w:r>
          </w:p>
        </w:tc>
        <w:tc>
          <w:tcPr>
            <w:tcW w:w="2070" w:type="dxa"/>
          </w:tcPr>
          <w:p w14:paraId="783B410B" w14:textId="77777777" w:rsidR="00D54BB0" w:rsidRPr="00D54BB0" w:rsidRDefault="00D54BB0" w:rsidP="00D54BB0">
            <w:pPr>
              <w:widowControl w:val="0"/>
              <w:jc w:val="right"/>
              <w:rPr>
                <w:szCs w:val="24"/>
              </w:rPr>
            </w:pPr>
          </w:p>
        </w:tc>
        <w:tc>
          <w:tcPr>
            <w:tcW w:w="2070" w:type="dxa"/>
          </w:tcPr>
          <w:p w14:paraId="143B34D1" w14:textId="77777777" w:rsidR="00D54BB0" w:rsidRPr="00D54BB0" w:rsidRDefault="00D54BB0" w:rsidP="00D54BB0">
            <w:pPr>
              <w:widowControl w:val="0"/>
              <w:jc w:val="right"/>
              <w:rPr>
                <w:szCs w:val="24"/>
              </w:rPr>
            </w:pPr>
          </w:p>
        </w:tc>
      </w:tr>
      <w:tr w:rsidR="00D54BB0" w:rsidRPr="00D54BB0" w14:paraId="528B2D7A" w14:textId="77777777" w:rsidTr="00291D6C">
        <w:tc>
          <w:tcPr>
            <w:tcW w:w="1980" w:type="dxa"/>
            <w:gridSpan w:val="2"/>
          </w:tcPr>
          <w:p w14:paraId="66396BC7" w14:textId="77777777" w:rsidR="00D54BB0" w:rsidRPr="00D54BB0" w:rsidRDefault="00D54BB0" w:rsidP="00D54BB0">
            <w:pPr>
              <w:widowControl w:val="0"/>
              <w:rPr>
                <w:szCs w:val="24"/>
              </w:rPr>
            </w:pPr>
          </w:p>
        </w:tc>
        <w:tc>
          <w:tcPr>
            <w:tcW w:w="3510" w:type="dxa"/>
          </w:tcPr>
          <w:p w14:paraId="43E8A68E" w14:textId="77777777" w:rsidR="00D54BB0" w:rsidRPr="00D54BB0" w:rsidRDefault="00D54BB0" w:rsidP="00D54BB0">
            <w:pPr>
              <w:widowControl w:val="0"/>
              <w:rPr>
                <w:szCs w:val="24"/>
              </w:rPr>
            </w:pPr>
          </w:p>
        </w:tc>
        <w:tc>
          <w:tcPr>
            <w:tcW w:w="2070" w:type="dxa"/>
          </w:tcPr>
          <w:p w14:paraId="4F4A79B1" w14:textId="77777777" w:rsidR="00D54BB0" w:rsidRPr="00D54BB0" w:rsidRDefault="00D54BB0" w:rsidP="00D54BB0">
            <w:pPr>
              <w:widowControl w:val="0"/>
              <w:jc w:val="right"/>
              <w:rPr>
                <w:szCs w:val="24"/>
              </w:rPr>
            </w:pPr>
          </w:p>
        </w:tc>
        <w:tc>
          <w:tcPr>
            <w:tcW w:w="2070" w:type="dxa"/>
          </w:tcPr>
          <w:p w14:paraId="772B488C" w14:textId="77777777" w:rsidR="00D54BB0" w:rsidRPr="00D54BB0" w:rsidRDefault="00D54BB0" w:rsidP="00D54BB0">
            <w:pPr>
              <w:widowControl w:val="0"/>
              <w:jc w:val="right"/>
              <w:rPr>
                <w:szCs w:val="24"/>
              </w:rPr>
            </w:pPr>
          </w:p>
        </w:tc>
      </w:tr>
      <w:tr w:rsidR="00D54BB0" w:rsidRPr="00D54BB0" w14:paraId="37932D8D" w14:textId="77777777" w:rsidTr="00291D6C">
        <w:tc>
          <w:tcPr>
            <w:tcW w:w="1980" w:type="dxa"/>
            <w:gridSpan w:val="2"/>
          </w:tcPr>
          <w:p w14:paraId="405C7CA9" w14:textId="77777777" w:rsidR="00D54BB0" w:rsidRPr="00D54BB0" w:rsidRDefault="00D54BB0" w:rsidP="00D54BB0">
            <w:pPr>
              <w:widowControl w:val="0"/>
              <w:rPr>
                <w:szCs w:val="24"/>
              </w:rPr>
            </w:pPr>
            <w:r w:rsidRPr="00D54BB0">
              <w:rPr>
                <w:rFonts w:hint="cs"/>
                <w:szCs w:val="24"/>
              </w:rPr>
              <w:t>December 31</w:t>
            </w:r>
          </w:p>
        </w:tc>
        <w:tc>
          <w:tcPr>
            <w:tcW w:w="3510" w:type="dxa"/>
          </w:tcPr>
          <w:p w14:paraId="372722FB" w14:textId="77777777" w:rsidR="00D54BB0" w:rsidRPr="00D54BB0" w:rsidRDefault="00D54BB0" w:rsidP="00D54BB0">
            <w:pPr>
              <w:widowControl w:val="0"/>
              <w:rPr>
                <w:szCs w:val="24"/>
              </w:rPr>
            </w:pPr>
            <w:r w:rsidRPr="00D54BB0">
              <w:rPr>
                <w:rFonts w:hint="cs"/>
                <w:szCs w:val="24"/>
                <w:vertAlign w:val="superscript"/>
              </w:rPr>
              <w:t>1</w:t>
            </w:r>
            <w:r w:rsidRPr="00D54BB0">
              <w:rPr>
                <w:rFonts w:hint="cs"/>
                <w:szCs w:val="24"/>
              </w:rPr>
              <w:t>Accounts payable</w:t>
            </w:r>
          </w:p>
        </w:tc>
        <w:tc>
          <w:tcPr>
            <w:tcW w:w="2070" w:type="dxa"/>
          </w:tcPr>
          <w:p w14:paraId="7375CAE0" w14:textId="77777777" w:rsidR="00D54BB0" w:rsidRPr="00D54BB0" w:rsidRDefault="00D54BB0" w:rsidP="00D54BB0">
            <w:pPr>
              <w:widowControl w:val="0"/>
              <w:jc w:val="right"/>
              <w:rPr>
                <w:szCs w:val="24"/>
              </w:rPr>
            </w:pPr>
            <w:r w:rsidRPr="00D54BB0">
              <w:rPr>
                <w:rFonts w:hint="cs"/>
                <w:szCs w:val="24"/>
              </w:rPr>
              <w:t>CAD 368.75</w:t>
            </w:r>
          </w:p>
        </w:tc>
        <w:tc>
          <w:tcPr>
            <w:tcW w:w="2070" w:type="dxa"/>
          </w:tcPr>
          <w:p w14:paraId="08F4EF76" w14:textId="77777777" w:rsidR="00D54BB0" w:rsidRPr="00D54BB0" w:rsidRDefault="00D54BB0" w:rsidP="00D54BB0">
            <w:pPr>
              <w:widowControl w:val="0"/>
              <w:jc w:val="right"/>
              <w:rPr>
                <w:szCs w:val="24"/>
              </w:rPr>
            </w:pPr>
          </w:p>
        </w:tc>
      </w:tr>
      <w:tr w:rsidR="00D54BB0" w:rsidRPr="00D54BB0" w14:paraId="1C15C935" w14:textId="77777777" w:rsidTr="00291D6C">
        <w:tc>
          <w:tcPr>
            <w:tcW w:w="1980" w:type="dxa"/>
            <w:gridSpan w:val="2"/>
          </w:tcPr>
          <w:p w14:paraId="24475018" w14:textId="77777777" w:rsidR="00D54BB0" w:rsidRPr="00D54BB0" w:rsidRDefault="00D54BB0" w:rsidP="00D54BB0">
            <w:pPr>
              <w:widowControl w:val="0"/>
              <w:rPr>
                <w:szCs w:val="24"/>
              </w:rPr>
            </w:pPr>
          </w:p>
        </w:tc>
        <w:tc>
          <w:tcPr>
            <w:tcW w:w="3510" w:type="dxa"/>
          </w:tcPr>
          <w:p w14:paraId="5ED86256" w14:textId="77777777" w:rsidR="00D54BB0" w:rsidRPr="00D54BB0" w:rsidRDefault="00D54BB0" w:rsidP="00D54BB0">
            <w:pPr>
              <w:widowControl w:val="0"/>
              <w:rPr>
                <w:szCs w:val="24"/>
              </w:rPr>
            </w:pPr>
            <w:r w:rsidRPr="00D54BB0">
              <w:rPr>
                <w:rFonts w:hint="cs"/>
                <w:szCs w:val="24"/>
              </w:rPr>
              <w:t xml:space="preserve">    Foreign exchange gain</w:t>
            </w:r>
          </w:p>
        </w:tc>
        <w:tc>
          <w:tcPr>
            <w:tcW w:w="2070" w:type="dxa"/>
          </w:tcPr>
          <w:p w14:paraId="2E41713C" w14:textId="77777777" w:rsidR="00D54BB0" w:rsidRPr="00D54BB0" w:rsidRDefault="00D54BB0" w:rsidP="00D54BB0">
            <w:pPr>
              <w:widowControl w:val="0"/>
              <w:jc w:val="right"/>
              <w:rPr>
                <w:szCs w:val="24"/>
              </w:rPr>
            </w:pPr>
          </w:p>
        </w:tc>
        <w:tc>
          <w:tcPr>
            <w:tcW w:w="2070" w:type="dxa"/>
          </w:tcPr>
          <w:p w14:paraId="1FA1C52B" w14:textId="77777777" w:rsidR="00D54BB0" w:rsidRPr="00D54BB0" w:rsidRDefault="00D54BB0" w:rsidP="00D54BB0">
            <w:pPr>
              <w:widowControl w:val="0"/>
              <w:jc w:val="right"/>
              <w:rPr>
                <w:szCs w:val="24"/>
              </w:rPr>
            </w:pPr>
            <w:r w:rsidRPr="00D54BB0">
              <w:rPr>
                <w:rFonts w:hint="cs"/>
                <w:szCs w:val="24"/>
              </w:rPr>
              <w:t>CAD 368.75</w:t>
            </w:r>
          </w:p>
        </w:tc>
      </w:tr>
      <w:tr w:rsidR="00D54BB0" w:rsidRPr="00D54BB0" w14:paraId="0B0A8B4C" w14:textId="77777777" w:rsidTr="00291D6C">
        <w:tc>
          <w:tcPr>
            <w:tcW w:w="1980" w:type="dxa"/>
            <w:gridSpan w:val="2"/>
          </w:tcPr>
          <w:p w14:paraId="0AD4ADC8" w14:textId="77777777" w:rsidR="00D54BB0" w:rsidRPr="00D54BB0" w:rsidRDefault="00D54BB0" w:rsidP="00D54BB0">
            <w:pPr>
              <w:widowControl w:val="0"/>
              <w:rPr>
                <w:szCs w:val="24"/>
              </w:rPr>
            </w:pPr>
          </w:p>
        </w:tc>
        <w:tc>
          <w:tcPr>
            <w:tcW w:w="3510" w:type="dxa"/>
          </w:tcPr>
          <w:p w14:paraId="1C1B75A0" w14:textId="77777777" w:rsidR="00D54BB0" w:rsidRPr="00D54BB0" w:rsidRDefault="00D54BB0" w:rsidP="00D54BB0">
            <w:pPr>
              <w:widowControl w:val="0"/>
              <w:rPr>
                <w:szCs w:val="24"/>
              </w:rPr>
            </w:pPr>
            <w:r w:rsidRPr="00D54BB0">
              <w:rPr>
                <w:rFonts w:hint="cs"/>
                <w:szCs w:val="24"/>
                <w:vertAlign w:val="superscript"/>
              </w:rPr>
              <w:t>1</w:t>
            </w:r>
            <w:r w:rsidRPr="00D54BB0">
              <w:rPr>
                <w:rFonts w:hint="cs"/>
                <w:szCs w:val="24"/>
              </w:rPr>
              <w:t>(125,000) (1.32405 – 1.32110)</w:t>
            </w:r>
          </w:p>
        </w:tc>
        <w:tc>
          <w:tcPr>
            <w:tcW w:w="2070" w:type="dxa"/>
          </w:tcPr>
          <w:p w14:paraId="647C35CB" w14:textId="77777777" w:rsidR="00D54BB0" w:rsidRPr="00D54BB0" w:rsidRDefault="00D54BB0" w:rsidP="00D54BB0">
            <w:pPr>
              <w:widowControl w:val="0"/>
              <w:jc w:val="right"/>
              <w:rPr>
                <w:szCs w:val="24"/>
              </w:rPr>
            </w:pPr>
          </w:p>
        </w:tc>
        <w:tc>
          <w:tcPr>
            <w:tcW w:w="2070" w:type="dxa"/>
          </w:tcPr>
          <w:p w14:paraId="0C288F35" w14:textId="77777777" w:rsidR="00D54BB0" w:rsidRPr="00D54BB0" w:rsidRDefault="00D54BB0" w:rsidP="00D54BB0">
            <w:pPr>
              <w:widowControl w:val="0"/>
              <w:jc w:val="right"/>
              <w:rPr>
                <w:szCs w:val="24"/>
              </w:rPr>
            </w:pPr>
          </w:p>
        </w:tc>
      </w:tr>
      <w:tr w:rsidR="00D54BB0" w:rsidRPr="00D54BB0" w14:paraId="07625EA9" w14:textId="77777777" w:rsidTr="00291D6C">
        <w:tc>
          <w:tcPr>
            <w:tcW w:w="1980" w:type="dxa"/>
            <w:gridSpan w:val="2"/>
          </w:tcPr>
          <w:p w14:paraId="2E8E8813" w14:textId="77777777" w:rsidR="00D54BB0" w:rsidRPr="00D54BB0" w:rsidRDefault="00D54BB0" w:rsidP="00D54BB0">
            <w:pPr>
              <w:widowControl w:val="0"/>
              <w:rPr>
                <w:szCs w:val="24"/>
              </w:rPr>
            </w:pPr>
          </w:p>
        </w:tc>
        <w:tc>
          <w:tcPr>
            <w:tcW w:w="3510" w:type="dxa"/>
          </w:tcPr>
          <w:p w14:paraId="2D0713D9" w14:textId="77777777" w:rsidR="00D54BB0" w:rsidRPr="00D54BB0" w:rsidRDefault="00D54BB0" w:rsidP="00D54BB0">
            <w:pPr>
              <w:widowControl w:val="0"/>
              <w:rPr>
                <w:szCs w:val="24"/>
              </w:rPr>
            </w:pPr>
          </w:p>
        </w:tc>
        <w:tc>
          <w:tcPr>
            <w:tcW w:w="2070" w:type="dxa"/>
          </w:tcPr>
          <w:p w14:paraId="03914899" w14:textId="77777777" w:rsidR="00D54BB0" w:rsidRPr="00D54BB0" w:rsidRDefault="00D54BB0" w:rsidP="00D54BB0">
            <w:pPr>
              <w:widowControl w:val="0"/>
              <w:jc w:val="right"/>
              <w:rPr>
                <w:szCs w:val="24"/>
              </w:rPr>
            </w:pPr>
          </w:p>
        </w:tc>
        <w:tc>
          <w:tcPr>
            <w:tcW w:w="2070" w:type="dxa"/>
          </w:tcPr>
          <w:p w14:paraId="779AC41C" w14:textId="77777777" w:rsidR="00D54BB0" w:rsidRPr="00D54BB0" w:rsidRDefault="00D54BB0" w:rsidP="00D54BB0">
            <w:pPr>
              <w:widowControl w:val="0"/>
              <w:jc w:val="right"/>
              <w:rPr>
                <w:szCs w:val="24"/>
              </w:rPr>
            </w:pPr>
          </w:p>
        </w:tc>
      </w:tr>
      <w:tr w:rsidR="00D54BB0" w:rsidRPr="00D54BB0" w14:paraId="4ABE5084" w14:textId="77777777" w:rsidTr="00291D6C">
        <w:tc>
          <w:tcPr>
            <w:tcW w:w="1980" w:type="dxa"/>
            <w:gridSpan w:val="2"/>
          </w:tcPr>
          <w:p w14:paraId="63D62FDE" w14:textId="77777777" w:rsidR="00D54BB0" w:rsidRPr="00D54BB0" w:rsidRDefault="00D54BB0" w:rsidP="00D54BB0">
            <w:pPr>
              <w:widowControl w:val="0"/>
              <w:rPr>
                <w:szCs w:val="24"/>
              </w:rPr>
            </w:pPr>
            <w:r w:rsidRPr="00D54BB0">
              <w:rPr>
                <w:rFonts w:hint="cs"/>
                <w:szCs w:val="24"/>
              </w:rPr>
              <w:t>February 1</w:t>
            </w:r>
          </w:p>
        </w:tc>
        <w:tc>
          <w:tcPr>
            <w:tcW w:w="3510" w:type="dxa"/>
          </w:tcPr>
          <w:p w14:paraId="2AF73383" w14:textId="77777777" w:rsidR="00D54BB0" w:rsidRPr="00D54BB0" w:rsidRDefault="00D54BB0" w:rsidP="00D54BB0">
            <w:pPr>
              <w:widowControl w:val="0"/>
              <w:rPr>
                <w:szCs w:val="24"/>
              </w:rPr>
            </w:pPr>
            <w:r w:rsidRPr="00D54BB0">
              <w:rPr>
                <w:rFonts w:hint="cs"/>
                <w:szCs w:val="24"/>
              </w:rPr>
              <w:t>Accounts payable</w:t>
            </w:r>
          </w:p>
        </w:tc>
        <w:tc>
          <w:tcPr>
            <w:tcW w:w="2070" w:type="dxa"/>
          </w:tcPr>
          <w:p w14:paraId="687FF697" w14:textId="77777777" w:rsidR="00D54BB0" w:rsidRPr="00D54BB0" w:rsidRDefault="00D54BB0" w:rsidP="00D54BB0">
            <w:pPr>
              <w:widowControl w:val="0"/>
              <w:jc w:val="right"/>
              <w:rPr>
                <w:szCs w:val="24"/>
              </w:rPr>
            </w:pPr>
            <w:r w:rsidRPr="00D54BB0">
              <w:rPr>
                <w:rFonts w:hint="cs"/>
                <w:szCs w:val="24"/>
              </w:rPr>
              <w:t>CAD 165,137.50</w:t>
            </w:r>
          </w:p>
        </w:tc>
        <w:tc>
          <w:tcPr>
            <w:tcW w:w="2070" w:type="dxa"/>
          </w:tcPr>
          <w:p w14:paraId="1023DC12" w14:textId="77777777" w:rsidR="00D54BB0" w:rsidRPr="00D54BB0" w:rsidRDefault="00D54BB0" w:rsidP="00D54BB0">
            <w:pPr>
              <w:widowControl w:val="0"/>
              <w:jc w:val="right"/>
              <w:rPr>
                <w:szCs w:val="24"/>
              </w:rPr>
            </w:pPr>
          </w:p>
        </w:tc>
      </w:tr>
      <w:tr w:rsidR="00D54BB0" w:rsidRPr="00D54BB0" w14:paraId="71F610E0" w14:textId="77777777" w:rsidTr="00291D6C">
        <w:tc>
          <w:tcPr>
            <w:tcW w:w="1980" w:type="dxa"/>
            <w:gridSpan w:val="2"/>
          </w:tcPr>
          <w:p w14:paraId="0223B7B7" w14:textId="77777777" w:rsidR="00D54BB0" w:rsidRPr="00D54BB0" w:rsidRDefault="00D54BB0" w:rsidP="00D54BB0">
            <w:pPr>
              <w:widowControl w:val="0"/>
              <w:rPr>
                <w:szCs w:val="24"/>
              </w:rPr>
            </w:pPr>
          </w:p>
        </w:tc>
        <w:tc>
          <w:tcPr>
            <w:tcW w:w="3510" w:type="dxa"/>
          </w:tcPr>
          <w:p w14:paraId="2F4BA034" w14:textId="77777777" w:rsidR="00D54BB0" w:rsidRPr="00D54BB0" w:rsidRDefault="00D54BB0" w:rsidP="00D54BB0">
            <w:pPr>
              <w:widowControl w:val="0"/>
              <w:rPr>
                <w:szCs w:val="24"/>
              </w:rPr>
            </w:pPr>
            <w:r w:rsidRPr="00D54BB0">
              <w:rPr>
                <w:rFonts w:hint="cs"/>
                <w:szCs w:val="24"/>
                <w:vertAlign w:val="superscript"/>
              </w:rPr>
              <w:t>1</w:t>
            </w:r>
            <w:r w:rsidRPr="00D54BB0">
              <w:rPr>
                <w:rFonts w:hint="cs"/>
                <w:szCs w:val="24"/>
              </w:rPr>
              <w:t>Foreign exchange loss</w:t>
            </w:r>
          </w:p>
        </w:tc>
        <w:tc>
          <w:tcPr>
            <w:tcW w:w="2070" w:type="dxa"/>
          </w:tcPr>
          <w:p w14:paraId="034DB1A1" w14:textId="77777777" w:rsidR="00D54BB0" w:rsidRPr="00D54BB0" w:rsidRDefault="00D54BB0" w:rsidP="00D54BB0">
            <w:pPr>
              <w:widowControl w:val="0"/>
              <w:jc w:val="right"/>
              <w:rPr>
                <w:szCs w:val="24"/>
              </w:rPr>
            </w:pPr>
            <w:r w:rsidRPr="00D54BB0">
              <w:rPr>
                <w:rFonts w:hint="cs"/>
                <w:szCs w:val="24"/>
              </w:rPr>
              <w:t>CAD 498.75</w:t>
            </w:r>
          </w:p>
        </w:tc>
        <w:tc>
          <w:tcPr>
            <w:tcW w:w="2070" w:type="dxa"/>
          </w:tcPr>
          <w:p w14:paraId="56A42396" w14:textId="77777777" w:rsidR="00D54BB0" w:rsidRPr="00D54BB0" w:rsidRDefault="00D54BB0" w:rsidP="00D54BB0">
            <w:pPr>
              <w:widowControl w:val="0"/>
              <w:jc w:val="right"/>
              <w:rPr>
                <w:szCs w:val="24"/>
              </w:rPr>
            </w:pPr>
          </w:p>
        </w:tc>
      </w:tr>
      <w:tr w:rsidR="00D54BB0" w:rsidRPr="00D54BB0" w14:paraId="3B008C00" w14:textId="77777777" w:rsidTr="00291D6C">
        <w:tc>
          <w:tcPr>
            <w:tcW w:w="1980" w:type="dxa"/>
            <w:gridSpan w:val="2"/>
          </w:tcPr>
          <w:p w14:paraId="07F25AFD" w14:textId="77777777" w:rsidR="00D54BB0" w:rsidRPr="00D54BB0" w:rsidRDefault="00D54BB0" w:rsidP="00D54BB0">
            <w:pPr>
              <w:widowControl w:val="0"/>
              <w:rPr>
                <w:szCs w:val="24"/>
              </w:rPr>
            </w:pPr>
          </w:p>
        </w:tc>
        <w:tc>
          <w:tcPr>
            <w:tcW w:w="3510" w:type="dxa"/>
          </w:tcPr>
          <w:p w14:paraId="779947E4" w14:textId="77777777" w:rsidR="00D54BB0" w:rsidRPr="00D54BB0" w:rsidRDefault="00D54BB0" w:rsidP="00D54BB0">
            <w:pPr>
              <w:widowControl w:val="0"/>
              <w:rPr>
                <w:szCs w:val="24"/>
              </w:rPr>
            </w:pPr>
            <w:r w:rsidRPr="00D54BB0">
              <w:rPr>
                <w:rFonts w:hint="cs"/>
                <w:szCs w:val="24"/>
              </w:rPr>
              <w:t xml:space="preserve">    </w:t>
            </w:r>
            <w:r w:rsidRPr="00D54BB0">
              <w:rPr>
                <w:rFonts w:hint="cs"/>
                <w:szCs w:val="24"/>
                <w:vertAlign w:val="superscript"/>
              </w:rPr>
              <w:t>2</w:t>
            </w:r>
            <w:r w:rsidRPr="00D54BB0">
              <w:rPr>
                <w:rFonts w:hint="cs"/>
                <w:szCs w:val="24"/>
              </w:rPr>
              <w:t>Cash</w:t>
            </w:r>
          </w:p>
        </w:tc>
        <w:tc>
          <w:tcPr>
            <w:tcW w:w="2070" w:type="dxa"/>
          </w:tcPr>
          <w:p w14:paraId="4E67E792" w14:textId="77777777" w:rsidR="00D54BB0" w:rsidRPr="00D54BB0" w:rsidRDefault="00D54BB0" w:rsidP="00D54BB0">
            <w:pPr>
              <w:widowControl w:val="0"/>
              <w:jc w:val="right"/>
              <w:rPr>
                <w:szCs w:val="24"/>
              </w:rPr>
            </w:pPr>
          </w:p>
        </w:tc>
        <w:tc>
          <w:tcPr>
            <w:tcW w:w="2070" w:type="dxa"/>
          </w:tcPr>
          <w:p w14:paraId="032B9BB1" w14:textId="77777777" w:rsidR="00D54BB0" w:rsidRPr="00D54BB0" w:rsidRDefault="00D54BB0" w:rsidP="00D54BB0">
            <w:pPr>
              <w:widowControl w:val="0"/>
              <w:jc w:val="right"/>
              <w:rPr>
                <w:szCs w:val="24"/>
              </w:rPr>
            </w:pPr>
            <w:r w:rsidRPr="00D54BB0">
              <w:rPr>
                <w:rFonts w:hint="cs"/>
                <w:szCs w:val="24"/>
              </w:rPr>
              <w:t>CAD 165,636.25</w:t>
            </w:r>
          </w:p>
        </w:tc>
      </w:tr>
      <w:tr w:rsidR="00D54BB0" w:rsidRPr="00D54BB0" w14:paraId="7D402475" w14:textId="77777777" w:rsidTr="00291D6C">
        <w:tc>
          <w:tcPr>
            <w:tcW w:w="1980" w:type="dxa"/>
            <w:gridSpan w:val="2"/>
          </w:tcPr>
          <w:p w14:paraId="1F07A669" w14:textId="77777777" w:rsidR="00D54BB0" w:rsidRPr="00D54BB0" w:rsidRDefault="00D54BB0" w:rsidP="00D54BB0">
            <w:pPr>
              <w:widowControl w:val="0"/>
              <w:rPr>
                <w:szCs w:val="24"/>
              </w:rPr>
            </w:pPr>
          </w:p>
        </w:tc>
        <w:tc>
          <w:tcPr>
            <w:tcW w:w="3510" w:type="dxa"/>
          </w:tcPr>
          <w:p w14:paraId="0387BC6D" w14:textId="77777777" w:rsidR="00D54BB0" w:rsidRPr="00D54BB0" w:rsidRDefault="00D54BB0" w:rsidP="00D54BB0">
            <w:pPr>
              <w:widowControl w:val="0"/>
              <w:rPr>
                <w:szCs w:val="24"/>
              </w:rPr>
            </w:pPr>
            <w:r w:rsidRPr="00D54BB0">
              <w:rPr>
                <w:rFonts w:hint="cs"/>
                <w:szCs w:val="24"/>
                <w:vertAlign w:val="superscript"/>
              </w:rPr>
              <w:t>1</w:t>
            </w:r>
            <w:r w:rsidRPr="00D54BB0">
              <w:rPr>
                <w:rFonts w:hint="cs"/>
                <w:szCs w:val="24"/>
              </w:rPr>
              <w:t>(125,000) (1.32110 – 1.32509)</w:t>
            </w:r>
          </w:p>
        </w:tc>
        <w:tc>
          <w:tcPr>
            <w:tcW w:w="2070" w:type="dxa"/>
          </w:tcPr>
          <w:p w14:paraId="09545082" w14:textId="77777777" w:rsidR="00D54BB0" w:rsidRPr="00D54BB0" w:rsidRDefault="00D54BB0" w:rsidP="00D54BB0">
            <w:pPr>
              <w:widowControl w:val="0"/>
              <w:jc w:val="right"/>
              <w:rPr>
                <w:szCs w:val="24"/>
              </w:rPr>
            </w:pPr>
          </w:p>
        </w:tc>
        <w:tc>
          <w:tcPr>
            <w:tcW w:w="2070" w:type="dxa"/>
          </w:tcPr>
          <w:p w14:paraId="02A13378" w14:textId="77777777" w:rsidR="00D54BB0" w:rsidRPr="00D54BB0" w:rsidRDefault="00D54BB0" w:rsidP="00D54BB0">
            <w:pPr>
              <w:widowControl w:val="0"/>
              <w:jc w:val="right"/>
              <w:rPr>
                <w:szCs w:val="24"/>
              </w:rPr>
            </w:pPr>
          </w:p>
        </w:tc>
      </w:tr>
      <w:tr w:rsidR="00D54BB0" w:rsidRPr="00D54BB0" w14:paraId="4A63FEE7" w14:textId="77777777" w:rsidTr="00291D6C">
        <w:trPr>
          <w:gridBefore w:val="1"/>
          <w:wBefore w:w="540" w:type="dxa"/>
        </w:trPr>
        <w:tc>
          <w:tcPr>
            <w:tcW w:w="1440" w:type="dxa"/>
          </w:tcPr>
          <w:p w14:paraId="20C3A09B" w14:textId="77777777" w:rsidR="00D54BB0" w:rsidRPr="00D54BB0" w:rsidRDefault="00D54BB0" w:rsidP="00D54BB0">
            <w:pPr>
              <w:widowControl w:val="0"/>
              <w:rPr>
                <w:szCs w:val="24"/>
              </w:rPr>
            </w:pPr>
          </w:p>
        </w:tc>
        <w:tc>
          <w:tcPr>
            <w:tcW w:w="3510" w:type="dxa"/>
          </w:tcPr>
          <w:p w14:paraId="0BF52DB5" w14:textId="77777777" w:rsidR="00D54BB0" w:rsidRPr="00D54BB0" w:rsidRDefault="00D54BB0" w:rsidP="00D54BB0">
            <w:pPr>
              <w:widowControl w:val="0"/>
              <w:rPr>
                <w:szCs w:val="24"/>
              </w:rPr>
            </w:pPr>
            <w:r w:rsidRPr="00D54BB0">
              <w:rPr>
                <w:rFonts w:hint="cs"/>
                <w:szCs w:val="24"/>
                <w:vertAlign w:val="superscript"/>
              </w:rPr>
              <w:t>2</w:t>
            </w:r>
            <w:r w:rsidRPr="00D54BB0">
              <w:rPr>
                <w:rFonts w:hint="cs"/>
                <w:szCs w:val="24"/>
              </w:rPr>
              <w:t>(125,000) (1.32509)</w:t>
            </w:r>
          </w:p>
        </w:tc>
        <w:tc>
          <w:tcPr>
            <w:tcW w:w="2070" w:type="dxa"/>
          </w:tcPr>
          <w:p w14:paraId="57E73299" w14:textId="77777777" w:rsidR="00D54BB0" w:rsidRPr="00D54BB0" w:rsidRDefault="00D54BB0" w:rsidP="00D54BB0">
            <w:pPr>
              <w:widowControl w:val="0"/>
              <w:jc w:val="right"/>
              <w:rPr>
                <w:szCs w:val="24"/>
              </w:rPr>
            </w:pPr>
          </w:p>
        </w:tc>
        <w:tc>
          <w:tcPr>
            <w:tcW w:w="2070" w:type="dxa"/>
          </w:tcPr>
          <w:p w14:paraId="5B8CFA1D" w14:textId="77777777" w:rsidR="00D54BB0" w:rsidRPr="00D54BB0" w:rsidRDefault="00D54BB0" w:rsidP="00D54BB0">
            <w:pPr>
              <w:widowControl w:val="0"/>
              <w:jc w:val="right"/>
              <w:rPr>
                <w:szCs w:val="24"/>
              </w:rPr>
            </w:pPr>
          </w:p>
        </w:tc>
      </w:tr>
    </w:tbl>
    <w:p w14:paraId="7936D1FC" w14:textId="77777777" w:rsidR="00D54BB0" w:rsidRPr="00D54BB0" w:rsidRDefault="00D54BB0" w:rsidP="00D54BB0">
      <w:pPr>
        <w:spacing w:after="0" w:line="240" w:lineRule="auto"/>
        <w:rPr>
          <w:kern w:val="0"/>
          <w:szCs w:val="24"/>
          <w14:ligatures w14:val="none"/>
        </w:rPr>
      </w:pPr>
    </w:p>
    <w:p w14:paraId="4722AA3B" w14:textId="77777777" w:rsidR="00D54BB0" w:rsidRPr="00D54BB0" w:rsidRDefault="00D54BB0" w:rsidP="00D54BB0">
      <w:pPr>
        <w:spacing w:after="0" w:line="240" w:lineRule="auto"/>
        <w:rPr>
          <w:b/>
          <w:bCs/>
          <w:kern w:val="0"/>
          <w:sz w:val="28"/>
          <w14:ligatures w14:val="none"/>
        </w:rPr>
      </w:pPr>
      <w:r w:rsidRPr="00D54BB0">
        <w:rPr>
          <w:b/>
          <w:bCs/>
          <w:kern w:val="0"/>
          <w:sz w:val="28"/>
          <w14:ligatures w14:val="none"/>
        </w:rPr>
        <w:br w:type="page"/>
      </w:r>
    </w:p>
    <w:p w14:paraId="7EC6E83A" w14:textId="77777777" w:rsidR="00D54BB0" w:rsidRPr="00D54BB0" w:rsidRDefault="00D54BB0" w:rsidP="00D54BB0">
      <w:pPr>
        <w:spacing w:after="0" w:line="240" w:lineRule="auto"/>
        <w:rPr>
          <w:b/>
          <w:bCs/>
          <w:kern w:val="0"/>
          <w:szCs w:val="24"/>
          <w14:ligatures w14:val="none"/>
        </w:rPr>
      </w:pPr>
    </w:p>
    <w:p w14:paraId="2FC7F00F" w14:textId="77777777" w:rsidR="00D54BB0" w:rsidRPr="00D54BB0" w:rsidRDefault="00D54BB0" w:rsidP="00D54BB0">
      <w:pPr>
        <w:spacing w:after="0" w:line="240" w:lineRule="auto"/>
        <w:rPr>
          <w:b/>
          <w:bCs/>
          <w:kern w:val="0"/>
          <w:sz w:val="28"/>
          <w14:ligatures w14:val="none"/>
        </w:rPr>
      </w:pPr>
      <w:r w:rsidRPr="00D54BB0">
        <w:rPr>
          <w:b/>
          <w:bCs/>
          <w:kern w:val="0"/>
          <w:sz w:val="28"/>
          <w14:ligatures w14:val="none"/>
        </w:rPr>
        <w:t>Hedging Exchange Rate Risk Using Forward Contracts</w:t>
      </w:r>
    </w:p>
    <w:p w14:paraId="24513403" w14:textId="77777777" w:rsidR="00D54BB0" w:rsidRPr="00D54BB0" w:rsidRDefault="00D54BB0" w:rsidP="00D54BB0">
      <w:pPr>
        <w:rPr>
          <w:kern w:val="0"/>
          <w:szCs w:val="24"/>
          <w14:ligatures w14:val="none"/>
        </w:rPr>
      </w:pPr>
    </w:p>
    <w:p w14:paraId="5A451248" w14:textId="77777777" w:rsidR="00D54BB0" w:rsidRPr="00D54BB0" w:rsidRDefault="00D54BB0" w:rsidP="00D54BB0">
      <w:pPr>
        <w:numPr>
          <w:ilvl w:val="0"/>
          <w:numId w:val="15"/>
        </w:numPr>
        <w:ind w:left="360"/>
        <w:contextualSpacing/>
        <w:rPr>
          <w:kern w:val="0"/>
          <w:szCs w:val="24"/>
          <w14:ligatures w14:val="none"/>
        </w:rPr>
      </w:pPr>
      <w:r w:rsidRPr="00D54BB0">
        <w:rPr>
          <w:kern w:val="0"/>
          <w:szCs w:val="24"/>
          <w14:ligatures w14:val="none"/>
        </w:rPr>
        <w:t>Hartley would receive CAD 5,660,100 (USD 4,500,000 x CAD/USD 1.2578) from the other counterparty.  The other counterparty would receive CAD 5,611,500 (USD 4,500,000 x CAD/USD 1.2470) from Hartley.  Hartley successfully hedged this transaction, but the other counterparty or speculator lost CAD 48,600 (CAD 5,611,500 – CAD 5,660,100) as the spot rate on the settlement date fell below the delivery rate.</w:t>
      </w:r>
    </w:p>
    <w:p w14:paraId="26DB4107" w14:textId="77777777" w:rsidR="00D54BB0" w:rsidRPr="00D54BB0" w:rsidRDefault="00D54BB0" w:rsidP="00D54BB0">
      <w:pPr>
        <w:contextualSpacing/>
        <w:rPr>
          <w:kern w:val="0"/>
          <w:szCs w:val="24"/>
          <w14:ligatures w14:val="none"/>
        </w:rPr>
      </w:pPr>
    </w:p>
    <w:p w14:paraId="445A8076" w14:textId="0BC5BC3D" w:rsidR="00D54BB0" w:rsidRPr="00D54BB0" w:rsidRDefault="00D54BB0" w:rsidP="00D54BB0">
      <w:pPr>
        <w:numPr>
          <w:ilvl w:val="0"/>
          <w:numId w:val="15"/>
        </w:numPr>
        <w:spacing w:after="0" w:line="240" w:lineRule="auto"/>
        <w:ind w:left="360"/>
        <w:contextualSpacing/>
        <w:rPr>
          <w:kern w:val="0"/>
          <w:szCs w:val="24"/>
          <w14:ligatures w14:val="none"/>
        </w:rPr>
      </w:pPr>
      <w:r w:rsidRPr="00D54BB0">
        <w:rPr>
          <w:kern w:val="0"/>
          <w:szCs w:val="24"/>
          <w14:ligatures w14:val="none"/>
        </w:rPr>
        <w:t xml:space="preserve">Hartley </w:t>
      </w:r>
      <w:r w:rsidRPr="00D54BB0">
        <w:rPr>
          <w:rFonts w:hint="cs"/>
          <w:kern w:val="0"/>
          <w:szCs w:val="24"/>
          <w14:ligatures w14:val="none"/>
        </w:rPr>
        <w:t xml:space="preserve">would receive CAD </w:t>
      </w:r>
      <w:r w:rsidRPr="00D54BB0">
        <w:rPr>
          <w:kern w:val="0"/>
          <w:szCs w:val="24"/>
          <w14:ligatures w14:val="none"/>
        </w:rPr>
        <w:t>5,611,500</w:t>
      </w:r>
      <w:r w:rsidRPr="00D54BB0">
        <w:rPr>
          <w:rFonts w:hint="cs"/>
          <w:kern w:val="0"/>
          <w:szCs w:val="24"/>
          <w14:ligatures w14:val="none"/>
        </w:rPr>
        <w:t xml:space="preserve"> (</w:t>
      </w:r>
      <w:r w:rsidRPr="00D54BB0">
        <w:rPr>
          <w:kern w:val="0"/>
          <w:szCs w:val="24"/>
          <w14:ligatures w14:val="none"/>
        </w:rPr>
        <w:t xml:space="preserve">USD 4,500,000 </w:t>
      </w:r>
      <w:r w:rsidRPr="00D54BB0">
        <w:rPr>
          <w:rFonts w:hint="cs"/>
          <w:kern w:val="0"/>
          <w:szCs w:val="24"/>
          <w14:ligatures w14:val="none"/>
        </w:rPr>
        <w:t xml:space="preserve">x </w:t>
      </w:r>
      <w:r w:rsidRPr="00D54BB0">
        <w:rPr>
          <w:kern w:val="0"/>
          <w:szCs w:val="24"/>
          <w14:ligatures w14:val="none"/>
        </w:rPr>
        <w:t xml:space="preserve">CAD/USD </w:t>
      </w:r>
      <w:r w:rsidRPr="00D54BB0">
        <w:rPr>
          <w:rFonts w:hint="cs"/>
          <w:kern w:val="0"/>
          <w:szCs w:val="24"/>
          <w14:ligatures w14:val="none"/>
        </w:rPr>
        <w:t>1.</w:t>
      </w:r>
      <w:r w:rsidRPr="00D54BB0">
        <w:rPr>
          <w:kern w:val="0"/>
          <w:szCs w:val="24"/>
          <w14:ligatures w14:val="none"/>
        </w:rPr>
        <w:t>2470</w:t>
      </w:r>
      <w:r w:rsidRPr="00D54BB0">
        <w:rPr>
          <w:rFonts w:hint="cs"/>
          <w:kern w:val="0"/>
          <w:szCs w:val="24"/>
          <w14:ligatures w14:val="none"/>
        </w:rPr>
        <w:t xml:space="preserve">) </w:t>
      </w:r>
      <w:r w:rsidRPr="00D54BB0">
        <w:rPr>
          <w:kern w:val="0"/>
          <w:szCs w:val="24"/>
          <w14:ligatures w14:val="none"/>
        </w:rPr>
        <w:t>when it exchanged the amount</w:t>
      </w:r>
      <w:r w:rsidRPr="00D54BB0">
        <w:rPr>
          <w:rFonts w:hint="cs"/>
          <w:kern w:val="0"/>
          <w:szCs w:val="24"/>
          <w14:ligatures w14:val="none"/>
        </w:rPr>
        <w:t xml:space="preserve"> at the spot rate</w:t>
      </w:r>
      <w:r w:rsidRPr="00D54BB0">
        <w:rPr>
          <w:kern w:val="0"/>
          <w:szCs w:val="24"/>
          <w14:ligatures w14:val="none"/>
        </w:rPr>
        <w:t xml:space="preserve"> on the settlement date.  The counterparty or speculator would pay Hartley CAD 48,600 (CAD 5,660,100 – CAD 5,611,500)</w:t>
      </w:r>
      <w:r w:rsidR="00ED7C0E">
        <w:rPr>
          <w:kern w:val="0"/>
          <w:szCs w:val="24"/>
          <w14:ligatures w14:val="none"/>
        </w:rPr>
        <w:t>,</w:t>
      </w:r>
      <w:r w:rsidRPr="00D54BB0">
        <w:rPr>
          <w:kern w:val="0"/>
          <w:szCs w:val="24"/>
          <w14:ligatures w14:val="none"/>
        </w:rPr>
        <w:t xml:space="preserve"> which </w:t>
      </w:r>
      <w:r w:rsidRPr="00D54BB0">
        <w:rPr>
          <w:rFonts w:hint="cs"/>
          <w:kern w:val="0"/>
          <w:szCs w:val="24"/>
          <w14:ligatures w14:val="none"/>
        </w:rPr>
        <w:t xml:space="preserve">will increase </w:t>
      </w:r>
      <w:r w:rsidRPr="00D54BB0">
        <w:rPr>
          <w:kern w:val="0"/>
          <w:szCs w:val="24"/>
          <w14:ligatures w14:val="none"/>
        </w:rPr>
        <w:t xml:space="preserve">Hartley’s </w:t>
      </w:r>
      <w:r w:rsidRPr="00D54BB0">
        <w:rPr>
          <w:rFonts w:hint="cs"/>
          <w:kern w:val="0"/>
          <w:szCs w:val="24"/>
          <w14:ligatures w14:val="none"/>
        </w:rPr>
        <w:t xml:space="preserve">net proceeds to CAD </w:t>
      </w:r>
      <w:r w:rsidRPr="00D54BB0">
        <w:rPr>
          <w:kern w:val="0"/>
          <w:szCs w:val="24"/>
          <w14:ligatures w14:val="none"/>
        </w:rPr>
        <w:t>5,660,100 (CAD 5,611,500 + CAD 48,600)</w:t>
      </w:r>
      <w:r w:rsidRPr="00D54BB0">
        <w:rPr>
          <w:rFonts w:hint="cs"/>
          <w:kern w:val="0"/>
          <w:szCs w:val="24"/>
          <w14:ligatures w14:val="none"/>
        </w:rPr>
        <w:t xml:space="preserve">.  This </w:t>
      </w:r>
      <w:r w:rsidRPr="00D54BB0">
        <w:rPr>
          <w:kern w:val="0"/>
          <w:szCs w:val="24"/>
          <w14:ligatures w14:val="none"/>
        </w:rPr>
        <w:t xml:space="preserve">is </w:t>
      </w:r>
      <w:r w:rsidRPr="00D54BB0">
        <w:rPr>
          <w:rFonts w:hint="cs"/>
          <w:kern w:val="0"/>
          <w:szCs w:val="24"/>
          <w14:ligatures w14:val="none"/>
        </w:rPr>
        <w:t xml:space="preserve">the same amount </w:t>
      </w:r>
      <w:r w:rsidRPr="00D54BB0">
        <w:rPr>
          <w:kern w:val="0"/>
          <w:szCs w:val="24"/>
          <w14:ligatures w14:val="none"/>
        </w:rPr>
        <w:t xml:space="preserve">Hartley </w:t>
      </w:r>
      <w:r w:rsidRPr="00D54BB0">
        <w:rPr>
          <w:rFonts w:hint="cs"/>
          <w:kern w:val="0"/>
          <w:szCs w:val="24"/>
          <w14:ligatures w14:val="none"/>
        </w:rPr>
        <w:t xml:space="preserve">would have received </w:t>
      </w:r>
      <w:r w:rsidRPr="00D54BB0">
        <w:rPr>
          <w:kern w:val="0"/>
          <w:szCs w:val="24"/>
          <w14:ligatures w14:val="none"/>
        </w:rPr>
        <w:t xml:space="preserve">in Part 1 </w:t>
      </w:r>
      <w:r w:rsidRPr="00D54BB0">
        <w:rPr>
          <w:rFonts w:hint="cs"/>
          <w:kern w:val="0"/>
          <w:szCs w:val="24"/>
          <w14:ligatures w14:val="none"/>
        </w:rPr>
        <w:t xml:space="preserve">if they </w:t>
      </w:r>
      <w:r w:rsidR="00ED7C0E">
        <w:rPr>
          <w:kern w:val="0"/>
          <w:szCs w:val="24"/>
          <w14:ligatures w14:val="none"/>
        </w:rPr>
        <w:t>had taken</w:t>
      </w:r>
      <w:r w:rsidRPr="00D54BB0">
        <w:rPr>
          <w:rFonts w:hint="cs"/>
          <w:kern w:val="0"/>
          <w:szCs w:val="24"/>
          <w14:ligatures w14:val="none"/>
        </w:rPr>
        <w:t xml:space="preserve"> delivery of the currency.</w:t>
      </w:r>
      <w:r w:rsidRPr="00D54BB0">
        <w:rPr>
          <w:kern w:val="0"/>
          <w:szCs w:val="24"/>
          <w14:ligatures w14:val="none"/>
        </w:rPr>
        <w:t xml:space="preserve">  Again, Hartley successfully hedged this transaction, but the other counterparty or speculator lost CAD 48,600 (CAD 5,611,500 – CAD 5,660,100) as the spot rate on the settlement date fell below the delivery rate.</w:t>
      </w:r>
    </w:p>
    <w:p w14:paraId="5EFEFD51" w14:textId="77777777" w:rsidR="00D54BB0" w:rsidRPr="00D54BB0" w:rsidRDefault="00D54BB0" w:rsidP="00D54BB0">
      <w:pPr>
        <w:spacing w:after="0" w:line="240" w:lineRule="auto"/>
        <w:contextualSpacing/>
        <w:rPr>
          <w:kern w:val="0"/>
          <w:szCs w:val="24"/>
          <w14:ligatures w14:val="none"/>
        </w:rPr>
      </w:pPr>
    </w:p>
    <w:p w14:paraId="7748ED15" w14:textId="05A542F9" w:rsidR="00D54BB0" w:rsidRPr="00D54BB0" w:rsidRDefault="00D54BB0" w:rsidP="00D54BB0">
      <w:pPr>
        <w:spacing w:after="0" w:line="240" w:lineRule="auto"/>
        <w:ind w:left="360"/>
        <w:rPr>
          <w:kern w:val="0"/>
          <w:szCs w:val="24"/>
          <w14:ligatures w14:val="none"/>
        </w:rPr>
      </w:pPr>
      <w:r w:rsidRPr="00D54BB0">
        <w:rPr>
          <w:kern w:val="0"/>
          <w:szCs w:val="24"/>
          <w14:ligatures w14:val="none"/>
        </w:rPr>
        <w:t>Hartley would receive CAD 5,672,250 (USD 4,500,000 x CAD/USD 1.2605) when it exchanged the amount at the spot rate on the settlement date</w:t>
      </w:r>
      <w:r w:rsidR="00ED7C0E">
        <w:rPr>
          <w:kern w:val="0"/>
          <w:szCs w:val="24"/>
          <w14:ligatures w14:val="none"/>
        </w:rPr>
        <w:t>,</w:t>
      </w:r>
      <w:r w:rsidRPr="00D54BB0">
        <w:rPr>
          <w:kern w:val="0"/>
          <w:szCs w:val="24"/>
          <w14:ligatures w14:val="none"/>
        </w:rPr>
        <w:t xml:space="preserve"> which is more than the CAD 5,660,100 (USD 4,500,000 x CAD/USD 1.2578) negotiated in the futures contract.  The extra CAD 12,150 (CAD 5,672,250 – CAD 5,660,100) would be paid to the other counterparty or speculator</w:t>
      </w:r>
      <w:r w:rsidR="00ED7C0E">
        <w:rPr>
          <w:kern w:val="0"/>
          <w:szCs w:val="24"/>
          <w14:ligatures w14:val="none"/>
        </w:rPr>
        <w:t>,</w:t>
      </w:r>
      <w:r w:rsidRPr="00D54BB0">
        <w:rPr>
          <w:kern w:val="0"/>
          <w:szCs w:val="24"/>
          <w14:ligatures w14:val="none"/>
        </w:rPr>
        <w:t xml:space="preserve"> reducing Hartley’s net proceeds to CAD 5,660,100 as agreed to in the futures contract.  The other counterparty or speculator would make a profit of CAD 12,150 because the spot rate on the settlement date rose above the delivery rate.</w:t>
      </w:r>
    </w:p>
    <w:p w14:paraId="43BC249B" w14:textId="77777777" w:rsidR="00D54BB0" w:rsidRPr="00D54BB0" w:rsidRDefault="00D54BB0" w:rsidP="00D54BB0">
      <w:pPr>
        <w:spacing w:after="0" w:line="240" w:lineRule="auto"/>
        <w:rPr>
          <w:kern w:val="0"/>
          <w:szCs w:val="24"/>
          <w14:ligatures w14:val="none"/>
        </w:rPr>
      </w:pPr>
    </w:p>
    <w:p w14:paraId="23D53064" w14:textId="77777777" w:rsidR="00D54BB0" w:rsidRPr="00D54BB0" w:rsidRDefault="00D54BB0" w:rsidP="00D54BB0">
      <w:pPr>
        <w:contextualSpacing/>
        <w:rPr>
          <w:kern w:val="0"/>
          <w:szCs w:val="24"/>
          <w14:ligatures w14:val="none"/>
        </w:rPr>
      </w:pPr>
    </w:p>
    <w:p w14:paraId="32F6AA69" w14:textId="77777777" w:rsidR="00D54BB0" w:rsidRPr="00D54BB0" w:rsidRDefault="00D54BB0" w:rsidP="00D54BB0">
      <w:pPr>
        <w:spacing w:after="0" w:line="240" w:lineRule="auto"/>
        <w:rPr>
          <w:kern w:val="0"/>
          <w:szCs w:val="24"/>
          <w14:ligatures w14:val="none"/>
        </w:rPr>
      </w:pPr>
    </w:p>
    <w:p w14:paraId="3BF455E3" w14:textId="77777777" w:rsidR="00D54BB0" w:rsidRPr="00D54BB0" w:rsidRDefault="00D54BB0" w:rsidP="00D54BB0">
      <w:pPr>
        <w:spacing w:after="0" w:line="240" w:lineRule="auto"/>
        <w:rPr>
          <w:b/>
          <w:bCs/>
          <w:kern w:val="0"/>
          <w:sz w:val="28"/>
          <w14:ligatures w14:val="none"/>
        </w:rPr>
      </w:pPr>
    </w:p>
    <w:p w14:paraId="204B27CE" w14:textId="77777777" w:rsidR="00D54BB0" w:rsidRDefault="00D54BB0">
      <w:pPr>
        <w:rPr>
          <w:b/>
          <w:bCs/>
          <w:kern w:val="0"/>
          <w:sz w:val="28"/>
          <w14:ligatures w14:val="none"/>
        </w:rPr>
      </w:pPr>
      <w:r>
        <w:rPr>
          <w:b/>
          <w:bCs/>
          <w:kern w:val="0"/>
          <w:sz w:val="28"/>
          <w14:ligatures w14:val="none"/>
        </w:rPr>
        <w:br w:type="page"/>
      </w:r>
    </w:p>
    <w:p w14:paraId="15B37E00" w14:textId="77777777" w:rsidR="00ED7C0E" w:rsidRDefault="00ED7C0E" w:rsidP="00D54BB0">
      <w:pPr>
        <w:spacing w:after="0" w:line="240" w:lineRule="auto"/>
        <w:rPr>
          <w:b/>
          <w:bCs/>
          <w:kern w:val="0"/>
          <w:sz w:val="28"/>
          <w14:ligatures w14:val="none"/>
        </w:rPr>
      </w:pPr>
    </w:p>
    <w:p w14:paraId="278FCAD8" w14:textId="1F839338" w:rsidR="00D54BB0" w:rsidRPr="00D54BB0" w:rsidRDefault="00D54BB0" w:rsidP="00D54BB0">
      <w:pPr>
        <w:spacing w:after="0" w:line="240" w:lineRule="auto"/>
        <w:rPr>
          <w:b/>
          <w:bCs/>
          <w:kern w:val="0"/>
          <w:sz w:val="28"/>
          <w14:ligatures w14:val="none"/>
        </w:rPr>
      </w:pPr>
      <w:r w:rsidRPr="00D54BB0">
        <w:rPr>
          <w:b/>
          <w:bCs/>
          <w:kern w:val="0"/>
          <w:sz w:val="28"/>
          <w14:ligatures w14:val="none"/>
        </w:rPr>
        <w:t>Hedging Exchange Rate Risk Using Swap Contracts</w:t>
      </w:r>
    </w:p>
    <w:p w14:paraId="52659117" w14:textId="77777777" w:rsidR="00D54BB0" w:rsidRPr="00D54BB0" w:rsidRDefault="00D54BB0" w:rsidP="00D54BB0">
      <w:pPr>
        <w:spacing w:after="0" w:line="240" w:lineRule="auto"/>
        <w:rPr>
          <w:kern w:val="0"/>
          <w:szCs w:val="24"/>
          <w14:ligatures w14:val="none"/>
        </w:rPr>
      </w:pPr>
    </w:p>
    <w:p w14:paraId="1D7C0A48" w14:textId="600B9CF5" w:rsidR="00D54BB0" w:rsidRPr="00D54BB0" w:rsidRDefault="00D54BB0" w:rsidP="00D54BB0">
      <w:pPr>
        <w:numPr>
          <w:ilvl w:val="0"/>
          <w:numId w:val="20"/>
        </w:numPr>
        <w:spacing w:after="0" w:line="240" w:lineRule="auto"/>
        <w:ind w:left="360"/>
        <w:contextualSpacing/>
        <w:rPr>
          <w:kern w:val="0"/>
          <w:szCs w:val="24"/>
          <w14:ligatures w14:val="none"/>
        </w:rPr>
      </w:pPr>
      <w:r w:rsidRPr="00D54BB0">
        <w:rPr>
          <w:kern w:val="0"/>
          <w:szCs w:val="24"/>
          <w14:ligatures w14:val="none"/>
        </w:rPr>
        <w:t xml:space="preserve">Wiley should borrow the funds </w:t>
      </w:r>
      <w:r w:rsidR="00ED7C0E">
        <w:rPr>
          <w:kern w:val="0"/>
          <w:szCs w:val="24"/>
          <w14:ligatures w14:val="none"/>
        </w:rPr>
        <w:t>from</w:t>
      </w:r>
      <w:r w:rsidRPr="00D54BB0">
        <w:rPr>
          <w:kern w:val="0"/>
          <w:szCs w:val="24"/>
          <w14:ligatures w14:val="none"/>
        </w:rPr>
        <w:t xml:space="preserve"> its Canadian bank and then have a swap dealer at the bank arrange an offsetting transaction with another company or dealer.  Wiley will borrow CAD 4,186,325 (USD 2,750,000 x CAD/USD 1.5223) and then swap it for a USD 2,750,000 loan.  It will make any interest payments on this loan in USD and then pay back CAD 4,228,950 (USD 2,750,000 x CAD/USD 1.5378) to its bank in three months.  </w:t>
      </w:r>
    </w:p>
    <w:p w14:paraId="3AA3275A" w14:textId="77777777" w:rsidR="00D54BB0" w:rsidRPr="00D54BB0" w:rsidRDefault="00D54BB0" w:rsidP="00D54BB0">
      <w:pPr>
        <w:spacing w:after="0" w:line="240" w:lineRule="auto"/>
        <w:rPr>
          <w:kern w:val="0"/>
          <w:szCs w:val="24"/>
          <w14:ligatures w14:val="none"/>
        </w:rPr>
      </w:pPr>
    </w:p>
    <w:p w14:paraId="20296E35" w14:textId="6A513B9A" w:rsidR="00D54BB0" w:rsidRPr="00D54BB0" w:rsidRDefault="00D54BB0" w:rsidP="00D54BB0">
      <w:pPr>
        <w:numPr>
          <w:ilvl w:val="0"/>
          <w:numId w:val="20"/>
        </w:numPr>
        <w:spacing w:after="0" w:line="240" w:lineRule="auto"/>
        <w:ind w:left="360"/>
        <w:contextualSpacing/>
        <w:rPr>
          <w:kern w:val="0"/>
          <w:szCs w:val="24"/>
          <w14:ligatures w14:val="none"/>
        </w:rPr>
      </w:pPr>
      <w:r w:rsidRPr="00D54BB0">
        <w:rPr>
          <w:kern w:val="0"/>
          <w:szCs w:val="24"/>
          <w14:ligatures w14:val="none"/>
        </w:rPr>
        <w:t xml:space="preserve">Wiley and the other party to the currency swap </w:t>
      </w:r>
      <w:r w:rsidR="0054430E">
        <w:rPr>
          <w:kern w:val="0"/>
          <w:szCs w:val="24"/>
          <w14:ligatures w14:val="none"/>
        </w:rPr>
        <w:t>can</w:t>
      </w:r>
      <w:r w:rsidR="00ED7C0E">
        <w:rPr>
          <w:kern w:val="0"/>
          <w:szCs w:val="24"/>
          <w14:ligatures w14:val="none"/>
        </w:rPr>
        <w:t xml:space="preserve"> </w:t>
      </w:r>
      <w:r w:rsidRPr="00D54BB0">
        <w:rPr>
          <w:kern w:val="0"/>
          <w:szCs w:val="24"/>
          <w14:ligatures w14:val="none"/>
        </w:rPr>
        <w:t>borrow in their home countries</w:t>
      </w:r>
      <w:r w:rsidR="00ED7C0E">
        <w:rPr>
          <w:kern w:val="0"/>
          <w:szCs w:val="24"/>
          <w14:ligatures w14:val="none"/>
        </w:rPr>
        <w:t>,</w:t>
      </w:r>
      <w:r w:rsidRPr="00D54BB0">
        <w:rPr>
          <w:kern w:val="0"/>
          <w:szCs w:val="24"/>
          <w14:ligatures w14:val="none"/>
        </w:rPr>
        <w:t xml:space="preserve"> where they are more familiar with lenders and can likely borrow at a lower rate with fewer lending restrictions.  These benefits are then shared when the loans are swapped.  Lending costs are lower than if the parties tried to borrow in an unfamiliar country.  Both parties can also lock in the forward rate and incur lower transaction costs compared to using a forward contract.</w:t>
      </w:r>
    </w:p>
    <w:p w14:paraId="707597CE" w14:textId="77777777" w:rsidR="00D54BB0" w:rsidRPr="00D54BB0" w:rsidRDefault="00D54BB0" w:rsidP="00D54BB0">
      <w:pPr>
        <w:spacing w:after="0" w:line="240" w:lineRule="auto"/>
        <w:rPr>
          <w:kern w:val="0"/>
          <w:szCs w:val="24"/>
          <w14:ligatures w14:val="none"/>
        </w:rPr>
      </w:pPr>
    </w:p>
    <w:p w14:paraId="6A4DAEA6" w14:textId="77777777" w:rsidR="00D54BB0" w:rsidRPr="00D54BB0" w:rsidRDefault="00D54BB0" w:rsidP="00D54BB0">
      <w:pPr>
        <w:spacing w:after="0" w:line="240" w:lineRule="auto"/>
        <w:rPr>
          <w:kern w:val="0"/>
          <w:szCs w:val="24"/>
          <w14:ligatures w14:val="none"/>
        </w:rPr>
      </w:pPr>
    </w:p>
    <w:p w14:paraId="4131F70A" w14:textId="77777777" w:rsidR="00D54BB0" w:rsidRPr="00D54BB0" w:rsidRDefault="00D54BB0" w:rsidP="00D54BB0">
      <w:pPr>
        <w:spacing w:after="0" w:line="240" w:lineRule="auto"/>
        <w:rPr>
          <w:kern w:val="0"/>
          <w:szCs w:val="24"/>
          <w14:ligatures w14:val="none"/>
        </w:rPr>
      </w:pPr>
    </w:p>
    <w:p w14:paraId="34DF0137" w14:textId="77777777" w:rsidR="00D54BB0" w:rsidRPr="00D54BB0" w:rsidRDefault="00D54BB0" w:rsidP="00D54BB0">
      <w:pPr>
        <w:spacing w:after="0" w:line="240" w:lineRule="auto"/>
        <w:rPr>
          <w:kern w:val="0"/>
          <w:szCs w:val="24"/>
          <w14:ligatures w14:val="none"/>
        </w:rPr>
      </w:pPr>
    </w:p>
    <w:p w14:paraId="6A3E78DD" w14:textId="77777777" w:rsidR="00D54BB0" w:rsidRPr="00D54BB0" w:rsidRDefault="00D54BB0" w:rsidP="00D54BB0">
      <w:pPr>
        <w:spacing w:after="0" w:line="240" w:lineRule="auto"/>
        <w:rPr>
          <w:kern w:val="0"/>
          <w:szCs w:val="24"/>
          <w14:ligatures w14:val="none"/>
        </w:rPr>
      </w:pPr>
    </w:p>
    <w:p w14:paraId="79AFA6F9" w14:textId="77777777" w:rsidR="00D54BB0" w:rsidRPr="00D54BB0" w:rsidRDefault="00D54BB0" w:rsidP="00D54BB0">
      <w:pPr>
        <w:rPr>
          <w:kern w:val="0"/>
          <w:szCs w:val="24"/>
          <w14:ligatures w14:val="none"/>
        </w:rPr>
      </w:pPr>
    </w:p>
    <w:p w14:paraId="62A5A5DA" w14:textId="77777777" w:rsidR="00D54BB0" w:rsidRPr="00D54BB0" w:rsidRDefault="00D54BB0" w:rsidP="00D54BB0">
      <w:pPr>
        <w:rPr>
          <w:kern w:val="0"/>
          <w:szCs w:val="24"/>
          <w14:ligatures w14:val="none"/>
        </w:rPr>
      </w:pPr>
    </w:p>
    <w:p w14:paraId="07D87EBB" w14:textId="77777777" w:rsidR="00D54BB0" w:rsidRPr="00D54BB0" w:rsidRDefault="00D54BB0" w:rsidP="00D54BB0">
      <w:pPr>
        <w:rPr>
          <w:kern w:val="0"/>
          <w:szCs w:val="24"/>
          <w14:ligatures w14:val="none"/>
        </w:rPr>
      </w:pPr>
    </w:p>
    <w:p w14:paraId="178279F1" w14:textId="77777777" w:rsidR="00D54BB0" w:rsidRPr="00D54BB0" w:rsidRDefault="00D54BB0" w:rsidP="00D54BB0">
      <w:pPr>
        <w:rPr>
          <w:kern w:val="0"/>
          <w:szCs w:val="24"/>
          <w14:ligatures w14:val="none"/>
        </w:rPr>
      </w:pPr>
    </w:p>
    <w:p w14:paraId="038CDA43" w14:textId="77777777" w:rsidR="00D54BB0" w:rsidRPr="00D54BB0" w:rsidRDefault="00D54BB0" w:rsidP="00D54BB0">
      <w:pPr>
        <w:spacing w:after="0" w:line="240" w:lineRule="auto"/>
        <w:rPr>
          <w:b/>
          <w:bCs/>
          <w:kern w:val="0"/>
          <w:sz w:val="28"/>
          <w14:ligatures w14:val="none"/>
        </w:rPr>
      </w:pPr>
    </w:p>
    <w:p w14:paraId="4D9DE94C" w14:textId="77777777" w:rsidR="00D54BB0" w:rsidRPr="00D54BB0" w:rsidRDefault="00D54BB0" w:rsidP="00D54BB0">
      <w:pPr>
        <w:rPr>
          <w:b/>
          <w:bCs/>
          <w:kern w:val="0"/>
          <w:sz w:val="28"/>
          <w14:ligatures w14:val="none"/>
        </w:rPr>
      </w:pPr>
      <w:r w:rsidRPr="00D54BB0">
        <w:rPr>
          <w:b/>
          <w:bCs/>
          <w:kern w:val="0"/>
          <w:sz w:val="28"/>
          <w14:ligatures w14:val="none"/>
        </w:rPr>
        <w:br w:type="page"/>
      </w:r>
    </w:p>
    <w:p w14:paraId="3E0BE1D9" w14:textId="77777777" w:rsidR="00D54BB0" w:rsidRPr="00D54BB0" w:rsidRDefault="00D54BB0" w:rsidP="00D54BB0">
      <w:pPr>
        <w:spacing w:after="0" w:line="240" w:lineRule="auto"/>
        <w:rPr>
          <w:b/>
          <w:bCs/>
          <w:kern w:val="0"/>
          <w:sz w:val="28"/>
          <w14:ligatures w14:val="none"/>
        </w:rPr>
      </w:pPr>
    </w:p>
    <w:p w14:paraId="07238CF6" w14:textId="77777777" w:rsidR="00D54BB0" w:rsidRPr="00D54BB0" w:rsidRDefault="00D54BB0" w:rsidP="00D54BB0">
      <w:pPr>
        <w:spacing w:after="0" w:line="240" w:lineRule="auto"/>
        <w:rPr>
          <w:b/>
          <w:bCs/>
          <w:kern w:val="0"/>
          <w:szCs w:val="24"/>
          <w14:ligatures w14:val="none"/>
        </w:rPr>
      </w:pPr>
    </w:p>
    <w:p w14:paraId="79E35C6E" w14:textId="15F2EC75" w:rsidR="00D54BB0" w:rsidRPr="00D54BB0" w:rsidRDefault="00D54BB0" w:rsidP="00D54BB0">
      <w:pPr>
        <w:spacing w:after="0" w:line="240" w:lineRule="auto"/>
        <w:rPr>
          <w:b/>
          <w:bCs/>
          <w:kern w:val="0"/>
          <w:sz w:val="28"/>
          <w14:ligatures w14:val="none"/>
        </w:rPr>
      </w:pPr>
      <w:r w:rsidRPr="00D54BB0">
        <w:rPr>
          <w:b/>
          <w:bCs/>
          <w:kern w:val="0"/>
          <w:sz w:val="28"/>
          <w14:ligatures w14:val="none"/>
        </w:rPr>
        <w:t xml:space="preserve">Hedging Exchange Rate Risk Using </w:t>
      </w:r>
      <w:r>
        <w:rPr>
          <w:b/>
          <w:bCs/>
          <w:kern w:val="0"/>
          <w:sz w:val="28"/>
          <w14:ligatures w14:val="none"/>
        </w:rPr>
        <w:t xml:space="preserve">Call </w:t>
      </w:r>
      <w:r w:rsidR="00ED7C0E">
        <w:rPr>
          <w:b/>
          <w:bCs/>
          <w:kern w:val="0"/>
          <w:sz w:val="28"/>
          <w14:ligatures w14:val="none"/>
        </w:rPr>
        <w:t>Option</w:t>
      </w:r>
      <w:r w:rsidRPr="00D54BB0">
        <w:rPr>
          <w:b/>
          <w:bCs/>
          <w:kern w:val="0"/>
          <w:sz w:val="28"/>
          <w14:ligatures w14:val="none"/>
        </w:rPr>
        <w:t xml:space="preserve"> Contracts</w:t>
      </w:r>
    </w:p>
    <w:p w14:paraId="225DE877" w14:textId="77777777" w:rsidR="00D54BB0" w:rsidRPr="00D54BB0" w:rsidRDefault="00D54BB0" w:rsidP="00D54BB0">
      <w:pPr>
        <w:spacing w:after="0" w:line="240" w:lineRule="auto"/>
        <w:rPr>
          <w:kern w:val="0"/>
          <w:szCs w:val="24"/>
          <w14:ligatures w14:val="none"/>
        </w:rPr>
      </w:pPr>
    </w:p>
    <w:p w14:paraId="07ABE47E" w14:textId="21B4EDF8" w:rsidR="00D54BB0" w:rsidRPr="00D54BB0" w:rsidRDefault="00D54BB0" w:rsidP="00D54BB0">
      <w:pPr>
        <w:numPr>
          <w:ilvl w:val="0"/>
          <w:numId w:val="22"/>
        </w:numPr>
        <w:spacing w:after="0" w:line="240" w:lineRule="auto"/>
        <w:ind w:left="360"/>
        <w:contextualSpacing/>
        <w:rPr>
          <w:kern w:val="0"/>
          <w:szCs w:val="24"/>
          <w14:ligatures w14:val="none"/>
        </w:rPr>
      </w:pPr>
      <w:bookmarkStart w:id="0" w:name="_Hlk140499386"/>
      <w:r w:rsidRPr="00D54BB0">
        <w:rPr>
          <w:kern w:val="0"/>
          <w:szCs w:val="24"/>
          <w14:ligatures w14:val="none"/>
        </w:rPr>
        <w:t xml:space="preserve">Cranston will pay CAD 31,437,500 (USD 25,000,000 x 1.2575) for the land in three months.  The acquisition is more expensive than the original cost of CAD 31,257,500 (USD 25,000,000 x 1.2503) because the CAD has depreciated against the USD.  The call option allows Cranston to purchase the land at CAD/USD 1.2503 instead of CAD/USD 1.2575, so the writer of the option must pay Cranston CAD 180,000 (USD 25,000,000 x (1.2575 – 1.2503)).  This reduces the net cost of purchasing the land from CAD 31,437,500 to CAD </w:t>
      </w:r>
      <w:r w:rsidR="009820D1" w:rsidRPr="00D54BB0">
        <w:rPr>
          <w:kern w:val="0"/>
          <w:szCs w:val="24"/>
          <w14:ligatures w14:val="none"/>
        </w:rPr>
        <w:t>31,257,500,</w:t>
      </w:r>
      <w:r w:rsidRPr="00D54BB0">
        <w:rPr>
          <w:kern w:val="0"/>
          <w:szCs w:val="24"/>
          <w14:ligatures w14:val="none"/>
        </w:rPr>
        <w:t xml:space="preserve"> which is the original cost.</w:t>
      </w:r>
    </w:p>
    <w:bookmarkEnd w:id="0"/>
    <w:p w14:paraId="68695F48" w14:textId="77777777" w:rsidR="00D54BB0" w:rsidRPr="00D54BB0" w:rsidRDefault="00D54BB0" w:rsidP="00D54BB0">
      <w:pPr>
        <w:spacing w:after="0" w:line="240" w:lineRule="auto"/>
        <w:rPr>
          <w:b/>
          <w:bCs/>
          <w:kern w:val="0"/>
          <w:szCs w:val="24"/>
          <w14:ligatures w14:val="none"/>
        </w:rPr>
      </w:pPr>
    </w:p>
    <w:p w14:paraId="2D793F20" w14:textId="432A1B20" w:rsidR="00D54BB0" w:rsidRPr="00D54BB0" w:rsidRDefault="00D54BB0" w:rsidP="00D54BB0">
      <w:pPr>
        <w:numPr>
          <w:ilvl w:val="0"/>
          <w:numId w:val="22"/>
        </w:numPr>
        <w:spacing w:after="0" w:line="240" w:lineRule="auto"/>
        <w:ind w:left="360"/>
        <w:contextualSpacing/>
        <w:rPr>
          <w:kern w:val="0"/>
          <w:szCs w:val="24"/>
          <w14:ligatures w14:val="none"/>
        </w:rPr>
      </w:pPr>
      <w:r w:rsidRPr="00D54BB0">
        <w:rPr>
          <w:kern w:val="0"/>
          <w:szCs w:val="24"/>
          <w14:ligatures w14:val="none"/>
        </w:rPr>
        <w:t>Cranston will pay CAD 31,140,000 (USD 25,000,000 x 1.2456) for the land in three months.  The acquisition is less expensive than the original cost of CAD 31,257,500 (USD 25,000,000 x 1.2503) because the CAD has appreciated against the USD.  The call option allows Cranston to purchase the land at CAD/USD 1.2503</w:t>
      </w:r>
      <w:r w:rsidR="00ED7C0E">
        <w:rPr>
          <w:kern w:val="0"/>
          <w:szCs w:val="24"/>
          <w14:ligatures w14:val="none"/>
        </w:rPr>
        <w:t>,</w:t>
      </w:r>
      <w:r w:rsidRPr="00D54BB0">
        <w:rPr>
          <w:kern w:val="0"/>
          <w:szCs w:val="24"/>
          <w14:ligatures w14:val="none"/>
        </w:rPr>
        <w:t xml:space="preserve"> but why would they if the spot rate is CAD/USD 1.2456</w:t>
      </w:r>
      <w:r w:rsidR="00ED7C0E">
        <w:rPr>
          <w:kern w:val="0"/>
          <w:szCs w:val="24"/>
          <w14:ligatures w14:val="none"/>
        </w:rPr>
        <w:t>?</w:t>
      </w:r>
      <w:r w:rsidRPr="00D54BB0">
        <w:rPr>
          <w:kern w:val="0"/>
          <w:szCs w:val="24"/>
          <w14:ligatures w14:val="none"/>
        </w:rPr>
        <w:t xml:space="preserve"> The net cost of purchasing the land is CAD 31,140,000.</w:t>
      </w:r>
    </w:p>
    <w:p w14:paraId="1F776CAB" w14:textId="77777777" w:rsidR="00D54BB0" w:rsidRPr="00D54BB0" w:rsidRDefault="00D54BB0" w:rsidP="00D54BB0">
      <w:pPr>
        <w:spacing w:after="0" w:line="240" w:lineRule="auto"/>
        <w:rPr>
          <w:b/>
          <w:bCs/>
          <w:kern w:val="0"/>
          <w:szCs w:val="24"/>
          <w14:ligatures w14:val="none"/>
        </w:rPr>
      </w:pPr>
    </w:p>
    <w:p w14:paraId="43909EE2" w14:textId="77777777" w:rsidR="00D54BB0" w:rsidRPr="00D54BB0" w:rsidRDefault="00D54BB0" w:rsidP="00D54BB0">
      <w:pPr>
        <w:rPr>
          <w:b/>
          <w:bCs/>
          <w:kern w:val="0"/>
          <w:sz w:val="28"/>
          <w14:ligatures w14:val="none"/>
        </w:rPr>
      </w:pPr>
    </w:p>
    <w:p w14:paraId="1E2C17E0" w14:textId="77777777" w:rsidR="00D54BB0" w:rsidRPr="00D54BB0" w:rsidRDefault="00D54BB0" w:rsidP="00D54BB0">
      <w:pPr>
        <w:rPr>
          <w:b/>
          <w:bCs/>
          <w:kern w:val="0"/>
          <w:sz w:val="28"/>
          <w14:ligatures w14:val="none"/>
        </w:rPr>
      </w:pPr>
      <w:r w:rsidRPr="00D54BB0">
        <w:rPr>
          <w:b/>
          <w:bCs/>
          <w:kern w:val="0"/>
          <w:sz w:val="28"/>
          <w14:ligatures w14:val="none"/>
        </w:rPr>
        <w:br w:type="page"/>
      </w:r>
    </w:p>
    <w:p w14:paraId="44002C30" w14:textId="77777777" w:rsidR="00D54BB0" w:rsidRPr="00D54BB0" w:rsidRDefault="00D54BB0" w:rsidP="00D54BB0">
      <w:pPr>
        <w:spacing w:after="0" w:line="240" w:lineRule="auto"/>
        <w:rPr>
          <w:b/>
          <w:bCs/>
          <w:kern w:val="0"/>
          <w:sz w:val="28"/>
          <w14:ligatures w14:val="none"/>
        </w:rPr>
      </w:pPr>
    </w:p>
    <w:p w14:paraId="55ABFF7C" w14:textId="7EA10AE1" w:rsidR="00D54BB0" w:rsidRPr="00D54BB0" w:rsidRDefault="00D54BB0" w:rsidP="00D54BB0">
      <w:pPr>
        <w:spacing w:after="0" w:line="240" w:lineRule="auto"/>
        <w:rPr>
          <w:b/>
          <w:bCs/>
          <w:kern w:val="0"/>
          <w:sz w:val="28"/>
          <w14:ligatures w14:val="none"/>
        </w:rPr>
      </w:pPr>
      <w:r w:rsidRPr="00D54BB0">
        <w:rPr>
          <w:b/>
          <w:bCs/>
          <w:kern w:val="0"/>
          <w:sz w:val="28"/>
          <w14:ligatures w14:val="none"/>
        </w:rPr>
        <w:t xml:space="preserve">Hedging Exchange Rate Risk Using </w:t>
      </w:r>
      <w:r>
        <w:rPr>
          <w:b/>
          <w:bCs/>
          <w:kern w:val="0"/>
          <w:sz w:val="28"/>
          <w14:ligatures w14:val="none"/>
        </w:rPr>
        <w:t xml:space="preserve">Put </w:t>
      </w:r>
      <w:r w:rsidR="00ED7C0E">
        <w:rPr>
          <w:b/>
          <w:bCs/>
          <w:kern w:val="0"/>
          <w:sz w:val="28"/>
          <w14:ligatures w14:val="none"/>
        </w:rPr>
        <w:t>Option</w:t>
      </w:r>
      <w:r w:rsidRPr="00D54BB0">
        <w:rPr>
          <w:b/>
          <w:bCs/>
          <w:kern w:val="0"/>
          <w:sz w:val="28"/>
          <w14:ligatures w14:val="none"/>
        </w:rPr>
        <w:t xml:space="preserve"> Contracts</w:t>
      </w:r>
    </w:p>
    <w:p w14:paraId="42750DEA" w14:textId="77777777" w:rsidR="00D54BB0" w:rsidRPr="00D54BB0" w:rsidRDefault="00D54BB0" w:rsidP="00D54BB0">
      <w:pPr>
        <w:spacing w:after="0" w:line="240" w:lineRule="auto"/>
        <w:rPr>
          <w:kern w:val="0"/>
          <w:szCs w:val="24"/>
          <w14:ligatures w14:val="none"/>
        </w:rPr>
      </w:pPr>
    </w:p>
    <w:p w14:paraId="1FA3A9FE" w14:textId="0C73299E" w:rsidR="00D54BB0" w:rsidRPr="00D54BB0" w:rsidRDefault="00D54BB0" w:rsidP="00D54BB0">
      <w:pPr>
        <w:numPr>
          <w:ilvl w:val="0"/>
          <w:numId w:val="24"/>
        </w:numPr>
        <w:spacing w:after="0" w:line="240" w:lineRule="auto"/>
        <w:ind w:left="360"/>
        <w:contextualSpacing/>
        <w:rPr>
          <w:kern w:val="0"/>
          <w:szCs w:val="24"/>
          <w14:ligatures w14:val="none"/>
        </w:rPr>
      </w:pPr>
      <w:r w:rsidRPr="00D54BB0">
        <w:rPr>
          <w:kern w:val="0"/>
          <w:szCs w:val="24"/>
          <w14:ligatures w14:val="none"/>
        </w:rPr>
        <w:t xml:space="preserve">Superior will receive CAD 63,050,000 (USD 50,000,000 x 1.2610) for the land in three months.  The proceeds are less than the amount originally expected of CAD 63,215,000 (USD 50,000,000 x 1.2643) because the CAD has appreciated against the USD.  The put option allows Cranston to sell the land at CAD/USD 1.2643 instead of CAD/USD 1.2610, so the writer of the option must pay Cranston CAD 165,000 (USD 50,000,000 x (1.2643 – 1.2610)).  This increases the net proceeds from the sale of the land from CAD 63,050,000 to CAD </w:t>
      </w:r>
      <w:r w:rsidR="009820D1" w:rsidRPr="00D54BB0">
        <w:rPr>
          <w:kern w:val="0"/>
          <w:szCs w:val="24"/>
          <w14:ligatures w14:val="none"/>
        </w:rPr>
        <w:t>63,215,000,</w:t>
      </w:r>
      <w:r w:rsidRPr="00D54BB0">
        <w:rPr>
          <w:kern w:val="0"/>
          <w:szCs w:val="24"/>
          <w14:ligatures w14:val="none"/>
        </w:rPr>
        <w:t xml:space="preserve"> which was the amount originally expected.</w:t>
      </w:r>
    </w:p>
    <w:p w14:paraId="64BD42E6" w14:textId="77777777" w:rsidR="00D54BB0" w:rsidRPr="00D54BB0" w:rsidRDefault="00D54BB0" w:rsidP="00D54BB0">
      <w:pPr>
        <w:spacing w:after="0" w:line="240" w:lineRule="auto"/>
        <w:rPr>
          <w:b/>
          <w:bCs/>
          <w:kern w:val="0"/>
          <w:szCs w:val="24"/>
          <w14:ligatures w14:val="none"/>
        </w:rPr>
      </w:pPr>
    </w:p>
    <w:p w14:paraId="4BBC5249" w14:textId="3BBA184F" w:rsidR="00D54BB0" w:rsidRPr="00D54BB0" w:rsidRDefault="00D54BB0" w:rsidP="00D54BB0">
      <w:pPr>
        <w:numPr>
          <w:ilvl w:val="0"/>
          <w:numId w:val="24"/>
        </w:numPr>
        <w:spacing w:after="0" w:line="240" w:lineRule="auto"/>
        <w:ind w:left="360"/>
        <w:contextualSpacing/>
        <w:rPr>
          <w:kern w:val="0"/>
          <w:szCs w:val="24"/>
          <w14:ligatures w14:val="none"/>
        </w:rPr>
      </w:pPr>
      <w:r w:rsidRPr="00D54BB0">
        <w:rPr>
          <w:kern w:val="0"/>
          <w:szCs w:val="24"/>
          <w14:ligatures w14:val="none"/>
        </w:rPr>
        <w:t>Superior will receive CAD 63,650,000 (USD 50,000,000 x 1.2730) for the land in three months.  The proceeds are more than the amount originally expected of CAD 63,215,000 (USD 50,000,000 x 1.2643) because the CAD has depreciated against the USD.  The put option allows Superior to sell the land at CAD/USD 1.2643</w:t>
      </w:r>
      <w:r w:rsidR="00ED7C0E">
        <w:rPr>
          <w:kern w:val="0"/>
          <w:szCs w:val="24"/>
          <w14:ligatures w14:val="none"/>
        </w:rPr>
        <w:t>,</w:t>
      </w:r>
      <w:r w:rsidRPr="00D54BB0">
        <w:rPr>
          <w:kern w:val="0"/>
          <w:szCs w:val="24"/>
          <w14:ligatures w14:val="none"/>
        </w:rPr>
        <w:t xml:space="preserve"> but why would they if the spot rate is CAD/USD 1.2730</w:t>
      </w:r>
      <w:r w:rsidR="00ED7C0E">
        <w:rPr>
          <w:kern w:val="0"/>
          <w:szCs w:val="24"/>
          <w14:ligatures w14:val="none"/>
        </w:rPr>
        <w:t>?</w:t>
      </w:r>
      <w:r w:rsidRPr="00D54BB0">
        <w:rPr>
          <w:kern w:val="0"/>
          <w:szCs w:val="24"/>
          <w14:ligatures w14:val="none"/>
        </w:rPr>
        <w:t xml:space="preserve"> The net proceeds from the sale of the land </w:t>
      </w:r>
      <w:r w:rsidR="00ED7C0E">
        <w:rPr>
          <w:kern w:val="0"/>
          <w:szCs w:val="24"/>
          <w14:ligatures w14:val="none"/>
        </w:rPr>
        <w:t>are</w:t>
      </w:r>
      <w:r w:rsidRPr="00D54BB0">
        <w:rPr>
          <w:kern w:val="0"/>
          <w:szCs w:val="24"/>
          <w14:ligatures w14:val="none"/>
        </w:rPr>
        <w:t xml:space="preserve"> CAD 63,650,000. </w:t>
      </w:r>
    </w:p>
    <w:p w14:paraId="12ADA778" w14:textId="77777777" w:rsidR="00D54BB0" w:rsidRPr="00D54BB0" w:rsidRDefault="00D54BB0" w:rsidP="00D54BB0">
      <w:pPr>
        <w:numPr>
          <w:ilvl w:val="0"/>
          <w:numId w:val="24"/>
        </w:numPr>
        <w:ind w:left="360"/>
        <w:contextualSpacing/>
        <w:rPr>
          <w:b/>
          <w:bCs/>
          <w:kern w:val="0"/>
          <w:sz w:val="28"/>
          <w14:ligatures w14:val="none"/>
        </w:rPr>
      </w:pPr>
      <w:r w:rsidRPr="00D54BB0">
        <w:rPr>
          <w:b/>
          <w:bCs/>
          <w:kern w:val="0"/>
          <w:sz w:val="28"/>
          <w14:ligatures w14:val="none"/>
        </w:rPr>
        <w:br w:type="page"/>
      </w:r>
    </w:p>
    <w:p w14:paraId="4AA9146B" w14:textId="77777777" w:rsidR="00D54BB0" w:rsidRPr="00D54BB0" w:rsidRDefault="00D54BB0" w:rsidP="00D54BB0">
      <w:pPr>
        <w:spacing w:after="0" w:line="240" w:lineRule="auto"/>
        <w:rPr>
          <w:b/>
          <w:bCs/>
          <w:kern w:val="0"/>
          <w:sz w:val="28"/>
          <w14:ligatures w14:val="none"/>
        </w:rPr>
      </w:pPr>
    </w:p>
    <w:p w14:paraId="538135D8" w14:textId="77777777" w:rsidR="00D54BB0" w:rsidRPr="00D54BB0" w:rsidRDefault="00D54BB0" w:rsidP="00D54BB0">
      <w:pPr>
        <w:spacing w:after="0" w:line="240" w:lineRule="auto"/>
        <w:rPr>
          <w:b/>
          <w:bCs/>
          <w:kern w:val="0"/>
          <w:sz w:val="28"/>
          <w14:ligatures w14:val="none"/>
        </w:rPr>
      </w:pPr>
      <w:r w:rsidRPr="00D54BB0">
        <w:rPr>
          <w:b/>
          <w:bCs/>
          <w:kern w:val="0"/>
          <w:sz w:val="28"/>
          <w14:ligatures w14:val="none"/>
        </w:rPr>
        <w:t>Hedging Exchange Risk Using a Natural Hedge</w:t>
      </w:r>
    </w:p>
    <w:p w14:paraId="1EFB8BAB" w14:textId="77777777" w:rsidR="00D54BB0" w:rsidRPr="00D54BB0" w:rsidRDefault="00D54BB0" w:rsidP="00D54BB0">
      <w:pPr>
        <w:spacing w:after="0" w:line="240" w:lineRule="auto"/>
        <w:rPr>
          <w:kern w:val="0"/>
          <w14:ligatures w14:val="none"/>
        </w:rPr>
      </w:pPr>
    </w:p>
    <w:p w14:paraId="3329DDB0" w14:textId="43AC09B7" w:rsidR="00D54BB0" w:rsidRPr="00D54BB0" w:rsidRDefault="00D54BB0" w:rsidP="00D54BB0">
      <w:pPr>
        <w:numPr>
          <w:ilvl w:val="0"/>
          <w:numId w:val="10"/>
        </w:numPr>
        <w:spacing w:after="0" w:line="240" w:lineRule="auto"/>
        <w:ind w:left="360"/>
        <w:contextualSpacing/>
        <w:rPr>
          <w:kern w:val="0"/>
          <w14:ligatures w14:val="none"/>
        </w:rPr>
      </w:pPr>
      <w:r w:rsidRPr="00D54BB0">
        <w:rPr>
          <w:kern w:val="0"/>
          <w14:ligatures w14:val="none"/>
        </w:rPr>
        <w:t>One USD currently buys CAD 1.2521, but this is expected to fall to CAD 1.2444 over the next year.  One USD is expected to buy fewer CAD, so the USD is depreciating against the CAD</w:t>
      </w:r>
      <w:r w:rsidR="00ED7C0E">
        <w:rPr>
          <w:kern w:val="0"/>
          <w14:ligatures w14:val="none"/>
        </w:rPr>
        <w:t>,</w:t>
      </w:r>
      <w:r w:rsidRPr="00D54BB0">
        <w:rPr>
          <w:kern w:val="0"/>
          <w14:ligatures w14:val="none"/>
        </w:rPr>
        <w:t xml:space="preserve"> which means the CAD is appreciating against the USD.</w:t>
      </w:r>
    </w:p>
    <w:p w14:paraId="682A761D" w14:textId="77777777" w:rsidR="00D54BB0" w:rsidRPr="00D54BB0" w:rsidRDefault="00D54BB0" w:rsidP="00D54BB0">
      <w:pPr>
        <w:spacing w:after="0" w:line="240" w:lineRule="auto"/>
        <w:rPr>
          <w:kern w:val="0"/>
          <w14:ligatures w14:val="none"/>
        </w:rPr>
      </w:pPr>
    </w:p>
    <w:p w14:paraId="400213D2" w14:textId="4FB84725" w:rsidR="00D54BB0" w:rsidRPr="00D54BB0" w:rsidRDefault="00D54BB0" w:rsidP="00D54BB0">
      <w:pPr>
        <w:numPr>
          <w:ilvl w:val="0"/>
          <w:numId w:val="10"/>
        </w:numPr>
        <w:spacing w:after="0" w:line="240" w:lineRule="auto"/>
        <w:ind w:left="360"/>
        <w:contextualSpacing/>
        <w:rPr>
          <w:kern w:val="0"/>
          <w14:ligatures w14:val="none"/>
        </w:rPr>
      </w:pPr>
      <w:r w:rsidRPr="00D54BB0">
        <w:rPr>
          <w:kern w:val="0"/>
          <w14:ligatures w14:val="none"/>
        </w:rPr>
        <w:t>Yes, the USD is depreciating against the CAD</w:t>
      </w:r>
      <w:r w:rsidR="00ED7C0E">
        <w:rPr>
          <w:kern w:val="0"/>
          <w14:ligatures w14:val="none"/>
        </w:rPr>
        <w:t>,</w:t>
      </w:r>
      <w:r w:rsidRPr="00D54BB0">
        <w:rPr>
          <w:kern w:val="0"/>
          <w14:ligatures w14:val="none"/>
        </w:rPr>
        <w:t xml:space="preserve"> so fewer CAD will be recognized when converting USD sales into CAD.  </w:t>
      </w:r>
    </w:p>
    <w:p w14:paraId="2ABF3E99" w14:textId="77777777" w:rsidR="00D54BB0" w:rsidRPr="00D54BB0" w:rsidRDefault="00D54BB0" w:rsidP="00D54BB0">
      <w:pPr>
        <w:contextualSpacing/>
        <w:rPr>
          <w:kern w:val="0"/>
          <w14:ligatures w14:val="none"/>
        </w:rPr>
      </w:pPr>
    </w:p>
    <w:p w14:paraId="05D14F39" w14:textId="77777777" w:rsidR="00D54BB0" w:rsidRPr="00D54BB0" w:rsidRDefault="00D54BB0" w:rsidP="00D54BB0">
      <w:pPr>
        <w:spacing w:after="0" w:line="240" w:lineRule="auto"/>
        <w:ind w:left="360"/>
        <w:contextualSpacing/>
        <w:rPr>
          <w:kern w:val="0"/>
          <w14:ligatures w14:val="none"/>
        </w:rPr>
      </w:pPr>
      <w:r w:rsidRPr="00D54BB0">
        <w:rPr>
          <w:kern w:val="0"/>
          <w14:ligatures w14:val="none"/>
        </w:rPr>
        <w:t>(5,500,000) (1.2444 – 1.2521) = CAD 42,350 decline in sales</w:t>
      </w:r>
    </w:p>
    <w:p w14:paraId="49D8F6CD" w14:textId="77777777" w:rsidR="00D54BB0" w:rsidRPr="00D54BB0" w:rsidRDefault="00D54BB0" w:rsidP="00D54BB0">
      <w:pPr>
        <w:spacing w:after="0" w:line="240" w:lineRule="auto"/>
        <w:rPr>
          <w:kern w:val="0"/>
          <w14:ligatures w14:val="none"/>
        </w:rPr>
      </w:pPr>
    </w:p>
    <w:p w14:paraId="2381000C" w14:textId="69908457" w:rsidR="00D54BB0" w:rsidRPr="00D54BB0" w:rsidRDefault="00D54BB0" w:rsidP="00D54BB0">
      <w:pPr>
        <w:numPr>
          <w:ilvl w:val="0"/>
          <w:numId w:val="10"/>
        </w:numPr>
        <w:spacing w:after="0" w:line="240" w:lineRule="auto"/>
        <w:ind w:left="360"/>
        <w:contextualSpacing/>
        <w:rPr>
          <w:kern w:val="0"/>
          <w14:ligatures w14:val="none"/>
        </w:rPr>
      </w:pPr>
      <w:r w:rsidRPr="00D54BB0">
        <w:rPr>
          <w:kern w:val="0"/>
          <w14:ligatures w14:val="none"/>
        </w:rPr>
        <w:t xml:space="preserve">Delisle purchases all its inputs in CAD in Canada, but it could source USD 5,500,000 from the U.S. instead.  </w:t>
      </w:r>
      <w:r w:rsidRPr="00D54BB0">
        <w:rPr>
          <w:kern w:val="0"/>
          <w:szCs w:val="24"/>
          <w:shd w:val="clear" w:color="auto" w:fill="FFFFFF"/>
          <w14:ligatures w14:val="none"/>
        </w:rPr>
        <w:t>I</w:t>
      </w:r>
      <w:r w:rsidRPr="00D54BB0">
        <w:rPr>
          <w:rFonts w:hint="cs"/>
          <w:kern w:val="0"/>
          <w:szCs w:val="24"/>
          <w:shd w:val="clear" w:color="auto" w:fill="FFFFFF"/>
          <w14:ligatures w14:val="none"/>
        </w:rPr>
        <w:t>t w</w:t>
      </w:r>
      <w:r w:rsidRPr="00D54BB0">
        <w:rPr>
          <w:kern w:val="0"/>
          <w:szCs w:val="24"/>
          <w:shd w:val="clear" w:color="auto" w:fill="FFFFFF"/>
          <w14:ligatures w14:val="none"/>
        </w:rPr>
        <w:t>ill</w:t>
      </w:r>
      <w:r w:rsidRPr="00D54BB0">
        <w:rPr>
          <w:rFonts w:hint="cs"/>
          <w:kern w:val="0"/>
          <w:szCs w:val="24"/>
          <w:shd w:val="clear" w:color="auto" w:fill="FFFFFF"/>
          <w14:ligatures w14:val="none"/>
        </w:rPr>
        <w:t xml:space="preserve"> take </w:t>
      </w:r>
      <w:r w:rsidR="00ED7C0E">
        <w:rPr>
          <w:kern w:val="0"/>
          <w:szCs w:val="24"/>
          <w:shd w:val="clear" w:color="auto" w:fill="FFFFFF"/>
          <w14:ligatures w14:val="none"/>
        </w:rPr>
        <w:t>fewer</w:t>
      </w:r>
      <w:r w:rsidRPr="00D54BB0">
        <w:rPr>
          <w:rFonts w:hint="cs"/>
          <w:kern w:val="0"/>
          <w:szCs w:val="24"/>
          <w:shd w:val="clear" w:color="auto" w:fill="FFFFFF"/>
          <w14:ligatures w14:val="none"/>
        </w:rPr>
        <w:t xml:space="preserve"> CAD to </w:t>
      </w:r>
      <w:r w:rsidRPr="00D54BB0">
        <w:rPr>
          <w:kern w:val="0"/>
          <w:szCs w:val="24"/>
          <w:shd w:val="clear" w:color="auto" w:fill="FFFFFF"/>
          <w14:ligatures w14:val="none"/>
        </w:rPr>
        <w:t>purchase these inputs if the CAD appreciates</w:t>
      </w:r>
      <w:r w:rsidRPr="00D54BB0">
        <w:rPr>
          <w:rFonts w:hint="cs"/>
          <w:kern w:val="0"/>
          <w:szCs w:val="24"/>
          <w:shd w:val="clear" w:color="auto" w:fill="FFFFFF"/>
          <w14:ligatures w14:val="none"/>
        </w:rPr>
        <w:t xml:space="preserve">.  </w:t>
      </w:r>
      <w:r w:rsidRPr="00D54BB0">
        <w:rPr>
          <w:kern w:val="0"/>
          <w:szCs w:val="24"/>
          <w:shd w:val="clear" w:color="auto" w:fill="FFFFFF"/>
          <w14:ligatures w14:val="none"/>
        </w:rPr>
        <w:t xml:space="preserve">CAD sales and expenses will each fall by the same amount, so net income is unaffected.  </w:t>
      </w:r>
    </w:p>
    <w:p w14:paraId="26EBA394" w14:textId="77777777" w:rsidR="00D54BB0" w:rsidRPr="00D54BB0" w:rsidRDefault="00D54BB0" w:rsidP="00D54BB0">
      <w:pPr>
        <w:spacing w:after="0" w:line="240" w:lineRule="auto"/>
        <w:rPr>
          <w:kern w:val="0"/>
          <w14:ligatures w14:val="none"/>
        </w:rPr>
      </w:pPr>
    </w:p>
    <w:p w14:paraId="38EF28BA" w14:textId="77777777" w:rsidR="00D54BB0" w:rsidRPr="00D54BB0" w:rsidRDefault="00D54BB0" w:rsidP="00D54BB0">
      <w:pPr>
        <w:spacing w:after="0" w:line="240" w:lineRule="auto"/>
        <w:ind w:firstLine="360"/>
        <w:rPr>
          <w:kern w:val="0"/>
          <w14:ligatures w14:val="none"/>
        </w:rPr>
      </w:pPr>
      <w:r w:rsidRPr="00D54BB0">
        <w:rPr>
          <w:kern w:val="0"/>
          <w14:ligatures w14:val="none"/>
        </w:rPr>
        <w:t>(5,500,000) (1.2444 – 1.2521) = CAD 42,350 decline in expenses</w:t>
      </w:r>
    </w:p>
    <w:p w14:paraId="49FA37BE" w14:textId="77777777" w:rsidR="00D54BB0" w:rsidRPr="00D54BB0" w:rsidRDefault="00D54BB0" w:rsidP="00D54BB0">
      <w:pPr>
        <w:ind w:firstLine="360"/>
        <w:contextualSpacing/>
        <w:rPr>
          <w:kern w:val="0"/>
          <w:szCs w:val="24"/>
          <w:shd w:val="clear" w:color="auto" w:fill="FFFFFF"/>
          <w14:ligatures w14:val="none"/>
        </w:rPr>
      </w:pPr>
    </w:p>
    <w:p w14:paraId="1F395B80" w14:textId="77777777" w:rsidR="00D54BB0" w:rsidRPr="00D54BB0" w:rsidRDefault="00D54BB0" w:rsidP="00D54BB0">
      <w:pPr>
        <w:spacing w:after="0" w:line="240" w:lineRule="auto"/>
        <w:ind w:left="360"/>
        <w:contextualSpacing/>
        <w:rPr>
          <w:kern w:val="0"/>
          <w14:ligatures w14:val="none"/>
        </w:rPr>
      </w:pPr>
      <w:r w:rsidRPr="00D54BB0">
        <w:rPr>
          <w:kern w:val="0"/>
          <w:szCs w:val="24"/>
          <w:shd w:val="clear" w:color="auto" w:fill="FFFFFF"/>
          <w14:ligatures w14:val="none"/>
        </w:rPr>
        <w:t>This assumes cash inflows and outflows are uniform, but this is not likely.  Cash flows should be matched monthly to ensure gains and losses cancel out.</w:t>
      </w:r>
    </w:p>
    <w:p w14:paraId="7678116B" w14:textId="77777777" w:rsidR="00D54BB0" w:rsidRPr="00D54BB0" w:rsidRDefault="00D54BB0" w:rsidP="00D54BB0">
      <w:pPr>
        <w:spacing w:after="0" w:line="240" w:lineRule="auto"/>
        <w:rPr>
          <w:kern w:val="0"/>
          <w14:ligatures w14:val="none"/>
        </w:rPr>
      </w:pPr>
    </w:p>
    <w:p w14:paraId="7741207E" w14:textId="77777777" w:rsidR="00D54BB0" w:rsidRPr="00D54BB0" w:rsidRDefault="00D54BB0" w:rsidP="00D54BB0">
      <w:pPr>
        <w:rPr>
          <w:b/>
          <w:bCs/>
          <w:kern w:val="0"/>
          <w:sz w:val="28"/>
          <w14:ligatures w14:val="none"/>
        </w:rPr>
      </w:pPr>
      <w:r w:rsidRPr="00D54BB0">
        <w:rPr>
          <w:b/>
          <w:bCs/>
          <w:kern w:val="0"/>
          <w:sz w:val="28"/>
          <w14:ligatures w14:val="none"/>
        </w:rPr>
        <w:br w:type="page"/>
      </w:r>
    </w:p>
    <w:p w14:paraId="49488DC1" w14:textId="77777777" w:rsidR="00D54BB0" w:rsidRPr="00D54BB0" w:rsidRDefault="00D54BB0" w:rsidP="00D54BB0">
      <w:pPr>
        <w:spacing w:after="0" w:line="240" w:lineRule="auto"/>
        <w:contextualSpacing/>
        <w:rPr>
          <w:b/>
          <w:bCs/>
          <w:kern w:val="0"/>
          <w:sz w:val="28"/>
          <w14:ligatures w14:val="none"/>
        </w:rPr>
      </w:pPr>
    </w:p>
    <w:p w14:paraId="7F731221" w14:textId="77777777" w:rsidR="00D54BB0" w:rsidRPr="00D54BB0" w:rsidRDefault="00D54BB0" w:rsidP="00D54BB0">
      <w:pPr>
        <w:spacing w:after="0" w:line="240" w:lineRule="auto"/>
        <w:contextualSpacing/>
        <w:rPr>
          <w:kern w:val="0"/>
          <w14:ligatures w14:val="none"/>
        </w:rPr>
      </w:pPr>
      <w:r w:rsidRPr="00D54BB0">
        <w:rPr>
          <w:b/>
          <w:bCs/>
          <w:kern w:val="0"/>
          <w:sz w:val="28"/>
          <w14:ligatures w14:val="none"/>
        </w:rPr>
        <w:t>Hedging Interest Rate Risk Using Swaps</w:t>
      </w:r>
    </w:p>
    <w:p w14:paraId="7C8B8734" w14:textId="77777777" w:rsidR="00D54BB0" w:rsidRPr="00D54BB0" w:rsidRDefault="00D54BB0" w:rsidP="00D54BB0">
      <w:pPr>
        <w:spacing w:after="0" w:line="240" w:lineRule="auto"/>
        <w:rPr>
          <w:kern w:val="0"/>
          <w14:ligatures w14:val="none"/>
        </w:rPr>
      </w:pPr>
    </w:p>
    <w:p w14:paraId="0FCEC29D" w14:textId="77777777" w:rsidR="00D54BB0" w:rsidRPr="00D54BB0" w:rsidRDefault="00D54BB0" w:rsidP="00D54BB0">
      <w:pPr>
        <w:spacing w:after="0" w:line="240" w:lineRule="auto"/>
        <w:rPr>
          <w:kern w:val="0"/>
          <w14:ligatures w14:val="none"/>
        </w:rPr>
      </w:pPr>
      <w:r w:rsidRPr="00D54BB0">
        <w:rPr>
          <w:kern w:val="0"/>
          <w14:ligatures w14:val="none"/>
        </w:rPr>
        <w:t>1.</w:t>
      </w:r>
    </w:p>
    <w:tbl>
      <w:tblPr>
        <w:tblStyle w:val="TableGrid"/>
        <w:tblW w:w="0" w:type="auto"/>
        <w:tblInd w:w="1165" w:type="dxa"/>
        <w:tblLook w:val="04A0" w:firstRow="1" w:lastRow="0" w:firstColumn="1" w:lastColumn="0" w:noHBand="0" w:noVBand="1"/>
      </w:tblPr>
      <w:tblGrid>
        <w:gridCol w:w="1075"/>
        <w:gridCol w:w="1260"/>
        <w:gridCol w:w="1170"/>
        <w:gridCol w:w="1265"/>
        <w:gridCol w:w="1260"/>
        <w:gridCol w:w="1440"/>
      </w:tblGrid>
      <w:tr w:rsidR="00D54BB0" w:rsidRPr="00D54BB0" w14:paraId="018C3FC2" w14:textId="77777777" w:rsidTr="00291D6C">
        <w:tc>
          <w:tcPr>
            <w:tcW w:w="1075" w:type="dxa"/>
            <w:vAlign w:val="center"/>
          </w:tcPr>
          <w:p w14:paraId="0A0CCA18" w14:textId="77777777" w:rsidR="00D54BB0" w:rsidRPr="00D54BB0" w:rsidRDefault="00D54BB0" w:rsidP="00D54BB0">
            <w:pPr>
              <w:rPr>
                <w:b/>
                <w:bCs/>
                <w:sz w:val="20"/>
                <w:szCs w:val="20"/>
              </w:rPr>
            </w:pPr>
            <w:r w:rsidRPr="00D54BB0">
              <w:rPr>
                <w:b/>
                <w:bCs/>
                <w:sz w:val="20"/>
                <w:szCs w:val="20"/>
              </w:rPr>
              <w:t>Payer</w:t>
            </w:r>
          </w:p>
        </w:tc>
        <w:tc>
          <w:tcPr>
            <w:tcW w:w="1260" w:type="dxa"/>
            <w:vAlign w:val="center"/>
          </w:tcPr>
          <w:p w14:paraId="27B1B205" w14:textId="77777777" w:rsidR="00D54BB0" w:rsidRPr="00D54BB0" w:rsidRDefault="00D54BB0" w:rsidP="00D54BB0">
            <w:pPr>
              <w:jc w:val="center"/>
              <w:rPr>
                <w:b/>
                <w:bCs/>
                <w:sz w:val="20"/>
                <w:szCs w:val="20"/>
              </w:rPr>
            </w:pPr>
            <w:r w:rsidRPr="00D54BB0">
              <w:rPr>
                <w:rFonts w:hint="cs"/>
                <w:b/>
                <w:bCs/>
                <w:sz w:val="20"/>
                <w:szCs w:val="20"/>
              </w:rPr>
              <w:t>Fixed Leg</w:t>
            </w:r>
          </w:p>
          <w:p w14:paraId="67071F3D" w14:textId="77777777" w:rsidR="00D54BB0" w:rsidRPr="00D54BB0" w:rsidRDefault="00D54BB0" w:rsidP="00D54BB0">
            <w:pPr>
              <w:jc w:val="center"/>
              <w:rPr>
                <w:b/>
                <w:bCs/>
                <w:sz w:val="20"/>
                <w:szCs w:val="20"/>
              </w:rPr>
            </w:pPr>
            <w:r w:rsidRPr="00D54BB0">
              <w:rPr>
                <w:b/>
                <w:bCs/>
                <w:sz w:val="20"/>
                <w:szCs w:val="20"/>
              </w:rPr>
              <w:t>Paid</w:t>
            </w:r>
          </w:p>
        </w:tc>
        <w:tc>
          <w:tcPr>
            <w:tcW w:w="1170" w:type="dxa"/>
            <w:vAlign w:val="center"/>
          </w:tcPr>
          <w:p w14:paraId="1746548F" w14:textId="77777777" w:rsidR="00D54BB0" w:rsidRPr="00D54BB0" w:rsidRDefault="00D54BB0" w:rsidP="00D54BB0">
            <w:pPr>
              <w:jc w:val="center"/>
              <w:rPr>
                <w:b/>
                <w:bCs/>
                <w:sz w:val="20"/>
                <w:szCs w:val="20"/>
              </w:rPr>
            </w:pPr>
            <w:r w:rsidRPr="00D54BB0">
              <w:rPr>
                <w:rFonts w:hint="cs"/>
                <w:b/>
                <w:bCs/>
                <w:sz w:val="20"/>
                <w:szCs w:val="20"/>
              </w:rPr>
              <w:t>Float Leg</w:t>
            </w:r>
          </w:p>
          <w:p w14:paraId="0026ACEC" w14:textId="77777777" w:rsidR="00D54BB0" w:rsidRPr="00D54BB0" w:rsidRDefault="00D54BB0" w:rsidP="00D54BB0">
            <w:pPr>
              <w:jc w:val="center"/>
              <w:rPr>
                <w:b/>
                <w:bCs/>
                <w:sz w:val="20"/>
                <w:szCs w:val="20"/>
              </w:rPr>
            </w:pPr>
            <w:r w:rsidRPr="00D54BB0">
              <w:rPr>
                <w:b/>
                <w:bCs/>
                <w:sz w:val="20"/>
                <w:szCs w:val="20"/>
              </w:rPr>
              <w:t>Received</w:t>
            </w:r>
          </w:p>
        </w:tc>
        <w:tc>
          <w:tcPr>
            <w:tcW w:w="1265" w:type="dxa"/>
            <w:vAlign w:val="center"/>
          </w:tcPr>
          <w:p w14:paraId="66C48B56" w14:textId="77777777" w:rsidR="00D54BB0" w:rsidRPr="00D54BB0" w:rsidRDefault="00D54BB0" w:rsidP="00D54BB0">
            <w:pPr>
              <w:jc w:val="center"/>
              <w:rPr>
                <w:b/>
                <w:bCs/>
                <w:sz w:val="20"/>
                <w:szCs w:val="20"/>
              </w:rPr>
            </w:pPr>
            <w:r w:rsidRPr="00D54BB0">
              <w:rPr>
                <w:rFonts w:hint="cs"/>
                <w:b/>
                <w:bCs/>
                <w:sz w:val="20"/>
                <w:szCs w:val="20"/>
              </w:rPr>
              <w:t>Net Swap Payment</w:t>
            </w:r>
          </w:p>
        </w:tc>
        <w:tc>
          <w:tcPr>
            <w:tcW w:w="1260" w:type="dxa"/>
            <w:vAlign w:val="center"/>
          </w:tcPr>
          <w:p w14:paraId="1D224587" w14:textId="77777777" w:rsidR="00D54BB0" w:rsidRPr="00D54BB0" w:rsidRDefault="00D54BB0" w:rsidP="00D54BB0">
            <w:pPr>
              <w:jc w:val="center"/>
              <w:rPr>
                <w:b/>
                <w:bCs/>
                <w:sz w:val="20"/>
                <w:szCs w:val="20"/>
              </w:rPr>
            </w:pPr>
            <w:r w:rsidRPr="00D54BB0">
              <w:rPr>
                <w:rFonts w:hint="cs"/>
                <w:b/>
                <w:bCs/>
                <w:sz w:val="20"/>
                <w:szCs w:val="20"/>
              </w:rPr>
              <w:t>Interest Payment</w:t>
            </w:r>
          </w:p>
        </w:tc>
        <w:tc>
          <w:tcPr>
            <w:tcW w:w="1440" w:type="dxa"/>
            <w:vAlign w:val="center"/>
          </w:tcPr>
          <w:p w14:paraId="46D20164" w14:textId="77777777" w:rsidR="00D54BB0" w:rsidRPr="00D54BB0" w:rsidRDefault="00D54BB0" w:rsidP="00D54BB0">
            <w:pPr>
              <w:jc w:val="center"/>
              <w:rPr>
                <w:b/>
                <w:bCs/>
                <w:sz w:val="20"/>
                <w:szCs w:val="20"/>
              </w:rPr>
            </w:pPr>
            <w:r w:rsidRPr="00D54BB0">
              <w:rPr>
                <w:rFonts w:hint="cs"/>
                <w:b/>
                <w:bCs/>
                <w:sz w:val="20"/>
                <w:szCs w:val="20"/>
              </w:rPr>
              <w:t>Net Interest Payment</w:t>
            </w:r>
          </w:p>
        </w:tc>
      </w:tr>
      <w:tr w:rsidR="00D54BB0" w:rsidRPr="00D54BB0" w14:paraId="7FB2D668" w14:textId="77777777" w:rsidTr="00291D6C">
        <w:tc>
          <w:tcPr>
            <w:tcW w:w="1075" w:type="dxa"/>
          </w:tcPr>
          <w:p w14:paraId="7C76B490" w14:textId="77777777" w:rsidR="00D54BB0" w:rsidRPr="00D54BB0" w:rsidRDefault="00D54BB0" w:rsidP="00D54BB0">
            <w:pPr>
              <w:rPr>
                <w:sz w:val="20"/>
                <w:szCs w:val="20"/>
              </w:rPr>
            </w:pPr>
            <w:r w:rsidRPr="00D54BB0">
              <w:rPr>
                <w:rFonts w:hint="cs"/>
                <w:sz w:val="20"/>
                <w:szCs w:val="20"/>
              </w:rPr>
              <w:t>Year 1</w:t>
            </w:r>
          </w:p>
        </w:tc>
        <w:tc>
          <w:tcPr>
            <w:tcW w:w="1260" w:type="dxa"/>
          </w:tcPr>
          <w:p w14:paraId="70F9F644" w14:textId="77777777" w:rsidR="00D54BB0" w:rsidRPr="00D54BB0" w:rsidRDefault="00D54BB0" w:rsidP="00D54BB0">
            <w:pPr>
              <w:jc w:val="right"/>
              <w:rPr>
                <w:sz w:val="20"/>
                <w:szCs w:val="20"/>
              </w:rPr>
            </w:pPr>
            <w:r w:rsidRPr="00D54BB0">
              <w:rPr>
                <w:sz w:val="20"/>
                <w:szCs w:val="20"/>
              </w:rPr>
              <w:t>(21,000)</w:t>
            </w:r>
            <w:r w:rsidRPr="00D54BB0">
              <w:rPr>
                <w:sz w:val="20"/>
                <w:szCs w:val="20"/>
                <w:vertAlign w:val="superscript"/>
              </w:rPr>
              <w:t>1</w:t>
            </w:r>
          </w:p>
        </w:tc>
        <w:tc>
          <w:tcPr>
            <w:tcW w:w="1170" w:type="dxa"/>
          </w:tcPr>
          <w:p w14:paraId="4069811E" w14:textId="77777777" w:rsidR="00D54BB0" w:rsidRPr="00D54BB0" w:rsidRDefault="00D54BB0" w:rsidP="00D54BB0">
            <w:pPr>
              <w:jc w:val="right"/>
              <w:rPr>
                <w:sz w:val="20"/>
                <w:szCs w:val="20"/>
              </w:rPr>
            </w:pPr>
            <w:r w:rsidRPr="00D54BB0">
              <w:rPr>
                <w:sz w:val="20"/>
                <w:szCs w:val="20"/>
              </w:rPr>
              <w:t>20,100</w:t>
            </w:r>
            <w:r w:rsidRPr="00D54BB0">
              <w:rPr>
                <w:sz w:val="20"/>
                <w:szCs w:val="20"/>
                <w:vertAlign w:val="superscript"/>
              </w:rPr>
              <w:t>2</w:t>
            </w:r>
          </w:p>
        </w:tc>
        <w:tc>
          <w:tcPr>
            <w:tcW w:w="1265" w:type="dxa"/>
          </w:tcPr>
          <w:p w14:paraId="2A8B43D3" w14:textId="77777777" w:rsidR="00D54BB0" w:rsidRPr="00D54BB0" w:rsidRDefault="00D54BB0" w:rsidP="00D54BB0">
            <w:pPr>
              <w:jc w:val="right"/>
              <w:rPr>
                <w:sz w:val="20"/>
                <w:szCs w:val="20"/>
              </w:rPr>
            </w:pPr>
            <w:r w:rsidRPr="00D54BB0">
              <w:rPr>
                <w:sz w:val="20"/>
                <w:szCs w:val="20"/>
              </w:rPr>
              <w:t>(900)</w:t>
            </w:r>
            <w:r w:rsidRPr="00D54BB0">
              <w:rPr>
                <w:sz w:val="20"/>
                <w:szCs w:val="20"/>
                <w:vertAlign w:val="superscript"/>
              </w:rPr>
              <w:t>4</w:t>
            </w:r>
          </w:p>
        </w:tc>
        <w:tc>
          <w:tcPr>
            <w:tcW w:w="1260" w:type="dxa"/>
          </w:tcPr>
          <w:p w14:paraId="3BB5CD05" w14:textId="77777777" w:rsidR="00D54BB0" w:rsidRPr="00D54BB0" w:rsidRDefault="00D54BB0" w:rsidP="00D54BB0">
            <w:pPr>
              <w:jc w:val="right"/>
              <w:rPr>
                <w:sz w:val="20"/>
                <w:szCs w:val="20"/>
              </w:rPr>
            </w:pPr>
            <w:r w:rsidRPr="00D54BB0">
              <w:rPr>
                <w:sz w:val="20"/>
                <w:szCs w:val="20"/>
              </w:rPr>
              <w:t>(20,100)</w:t>
            </w:r>
            <w:r w:rsidRPr="00D54BB0">
              <w:rPr>
                <w:sz w:val="20"/>
                <w:szCs w:val="20"/>
                <w:vertAlign w:val="superscript"/>
              </w:rPr>
              <w:t>6</w:t>
            </w:r>
          </w:p>
        </w:tc>
        <w:tc>
          <w:tcPr>
            <w:tcW w:w="1440" w:type="dxa"/>
          </w:tcPr>
          <w:p w14:paraId="48870AB6" w14:textId="77777777" w:rsidR="00D54BB0" w:rsidRPr="00D54BB0" w:rsidRDefault="00D54BB0" w:rsidP="00D54BB0">
            <w:pPr>
              <w:jc w:val="right"/>
              <w:rPr>
                <w:sz w:val="20"/>
                <w:szCs w:val="20"/>
              </w:rPr>
            </w:pPr>
            <w:r w:rsidRPr="00D54BB0">
              <w:rPr>
                <w:sz w:val="20"/>
                <w:szCs w:val="20"/>
              </w:rPr>
              <w:t>(21,000)</w:t>
            </w:r>
            <w:r w:rsidRPr="00D54BB0">
              <w:rPr>
                <w:sz w:val="20"/>
                <w:szCs w:val="20"/>
                <w:vertAlign w:val="superscript"/>
              </w:rPr>
              <w:t>8</w:t>
            </w:r>
          </w:p>
        </w:tc>
      </w:tr>
      <w:tr w:rsidR="00D54BB0" w:rsidRPr="00D54BB0" w14:paraId="09125C6C" w14:textId="77777777" w:rsidTr="00291D6C">
        <w:tc>
          <w:tcPr>
            <w:tcW w:w="1075" w:type="dxa"/>
          </w:tcPr>
          <w:p w14:paraId="0AD86260" w14:textId="77777777" w:rsidR="00D54BB0" w:rsidRPr="00D54BB0" w:rsidRDefault="00D54BB0" w:rsidP="00D54BB0">
            <w:pPr>
              <w:rPr>
                <w:sz w:val="20"/>
                <w:szCs w:val="20"/>
              </w:rPr>
            </w:pPr>
            <w:r w:rsidRPr="00D54BB0">
              <w:rPr>
                <w:rFonts w:hint="cs"/>
                <w:sz w:val="20"/>
                <w:szCs w:val="20"/>
              </w:rPr>
              <w:t>Year 2</w:t>
            </w:r>
          </w:p>
        </w:tc>
        <w:tc>
          <w:tcPr>
            <w:tcW w:w="1260" w:type="dxa"/>
          </w:tcPr>
          <w:p w14:paraId="2A42A377" w14:textId="77777777" w:rsidR="00D54BB0" w:rsidRPr="00D54BB0" w:rsidRDefault="00D54BB0" w:rsidP="00D54BB0">
            <w:pPr>
              <w:jc w:val="right"/>
              <w:rPr>
                <w:sz w:val="20"/>
                <w:szCs w:val="20"/>
              </w:rPr>
            </w:pPr>
            <w:r w:rsidRPr="00D54BB0">
              <w:rPr>
                <w:sz w:val="20"/>
                <w:szCs w:val="20"/>
              </w:rPr>
              <w:t>(21,000)</w:t>
            </w:r>
            <w:r w:rsidRPr="00D54BB0">
              <w:rPr>
                <w:sz w:val="20"/>
                <w:szCs w:val="20"/>
                <w:vertAlign w:val="superscript"/>
              </w:rPr>
              <w:t>1</w:t>
            </w:r>
          </w:p>
        </w:tc>
        <w:tc>
          <w:tcPr>
            <w:tcW w:w="1170" w:type="dxa"/>
          </w:tcPr>
          <w:p w14:paraId="5985D49C" w14:textId="77777777" w:rsidR="00D54BB0" w:rsidRPr="00D54BB0" w:rsidRDefault="00D54BB0" w:rsidP="00D54BB0">
            <w:pPr>
              <w:jc w:val="right"/>
              <w:rPr>
                <w:sz w:val="20"/>
                <w:szCs w:val="20"/>
              </w:rPr>
            </w:pPr>
            <w:r w:rsidRPr="00D54BB0">
              <w:rPr>
                <w:sz w:val="20"/>
                <w:szCs w:val="20"/>
              </w:rPr>
              <w:t>23,700</w:t>
            </w:r>
            <w:r w:rsidRPr="00D54BB0">
              <w:rPr>
                <w:sz w:val="20"/>
                <w:szCs w:val="20"/>
                <w:vertAlign w:val="superscript"/>
              </w:rPr>
              <w:t>3</w:t>
            </w:r>
          </w:p>
        </w:tc>
        <w:tc>
          <w:tcPr>
            <w:tcW w:w="1265" w:type="dxa"/>
          </w:tcPr>
          <w:p w14:paraId="7E3A5057" w14:textId="77777777" w:rsidR="00D54BB0" w:rsidRPr="00D54BB0" w:rsidRDefault="00D54BB0" w:rsidP="00D54BB0">
            <w:pPr>
              <w:jc w:val="right"/>
              <w:rPr>
                <w:sz w:val="20"/>
                <w:szCs w:val="20"/>
              </w:rPr>
            </w:pPr>
            <w:r w:rsidRPr="00D54BB0">
              <w:rPr>
                <w:sz w:val="20"/>
                <w:szCs w:val="20"/>
              </w:rPr>
              <w:t>2,700</w:t>
            </w:r>
            <w:r w:rsidRPr="00D54BB0">
              <w:rPr>
                <w:sz w:val="20"/>
                <w:szCs w:val="20"/>
                <w:vertAlign w:val="superscript"/>
              </w:rPr>
              <w:t>5</w:t>
            </w:r>
          </w:p>
        </w:tc>
        <w:tc>
          <w:tcPr>
            <w:tcW w:w="1260" w:type="dxa"/>
          </w:tcPr>
          <w:p w14:paraId="1E291A7C" w14:textId="77777777" w:rsidR="00D54BB0" w:rsidRPr="00D54BB0" w:rsidRDefault="00D54BB0" w:rsidP="00D54BB0">
            <w:pPr>
              <w:jc w:val="right"/>
              <w:rPr>
                <w:sz w:val="20"/>
                <w:szCs w:val="20"/>
              </w:rPr>
            </w:pPr>
            <w:r w:rsidRPr="00D54BB0">
              <w:rPr>
                <w:sz w:val="20"/>
                <w:szCs w:val="20"/>
              </w:rPr>
              <w:t>(23,700)</w:t>
            </w:r>
            <w:r w:rsidRPr="00D54BB0">
              <w:rPr>
                <w:sz w:val="20"/>
                <w:szCs w:val="20"/>
                <w:vertAlign w:val="superscript"/>
              </w:rPr>
              <w:t>7</w:t>
            </w:r>
          </w:p>
        </w:tc>
        <w:tc>
          <w:tcPr>
            <w:tcW w:w="1440" w:type="dxa"/>
          </w:tcPr>
          <w:p w14:paraId="29E9CAB5" w14:textId="77777777" w:rsidR="00D54BB0" w:rsidRPr="00D54BB0" w:rsidRDefault="00D54BB0" w:rsidP="00D54BB0">
            <w:pPr>
              <w:jc w:val="right"/>
              <w:rPr>
                <w:sz w:val="20"/>
                <w:szCs w:val="20"/>
              </w:rPr>
            </w:pPr>
            <w:r w:rsidRPr="00D54BB0">
              <w:rPr>
                <w:sz w:val="20"/>
                <w:szCs w:val="20"/>
              </w:rPr>
              <w:t>(21,000)</w:t>
            </w:r>
            <w:r w:rsidRPr="00D54BB0">
              <w:rPr>
                <w:sz w:val="20"/>
                <w:szCs w:val="20"/>
                <w:vertAlign w:val="superscript"/>
              </w:rPr>
              <w:t>9</w:t>
            </w:r>
          </w:p>
        </w:tc>
      </w:tr>
    </w:tbl>
    <w:p w14:paraId="20704678" w14:textId="77777777" w:rsidR="00D54BB0" w:rsidRPr="00D54BB0" w:rsidRDefault="00D54BB0" w:rsidP="00D54BB0">
      <w:pPr>
        <w:spacing w:after="0" w:line="240" w:lineRule="auto"/>
        <w:rPr>
          <w:kern w:val="0"/>
          <w14:ligatures w14:val="none"/>
        </w:rPr>
      </w:pPr>
    </w:p>
    <w:p w14:paraId="0E4C3C05" w14:textId="77777777" w:rsidR="00D54BB0" w:rsidRPr="00D54BB0" w:rsidRDefault="00D54BB0" w:rsidP="009820D1">
      <w:pPr>
        <w:spacing w:after="0" w:line="240" w:lineRule="auto"/>
        <w:ind w:left="360"/>
        <w:rPr>
          <w:kern w:val="0"/>
          <w14:ligatures w14:val="none"/>
        </w:rPr>
      </w:pPr>
      <w:r w:rsidRPr="00D54BB0">
        <w:rPr>
          <w:kern w:val="0"/>
          <w:vertAlign w:val="superscript"/>
          <w14:ligatures w14:val="none"/>
        </w:rPr>
        <w:t>1</w:t>
      </w:r>
      <w:r w:rsidRPr="00D54BB0">
        <w:rPr>
          <w:kern w:val="0"/>
          <w14:ligatures w14:val="none"/>
        </w:rPr>
        <w:t xml:space="preserve"> (600,000) (.035)</w:t>
      </w:r>
    </w:p>
    <w:p w14:paraId="1DA737CD" w14:textId="77777777" w:rsidR="00D54BB0" w:rsidRPr="00D54BB0" w:rsidRDefault="00D54BB0" w:rsidP="009820D1">
      <w:pPr>
        <w:spacing w:after="0" w:line="240" w:lineRule="auto"/>
        <w:ind w:left="360"/>
        <w:rPr>
          <w:kern w:val="0"/>
          <w14:ligatures w14:val="none"/>
        </w:rPr>
      </w:pPr>
      <w:r w:rsidRPr="00D54BB0">
        <w:rPr>
          <w:kern w:val="0"/>
          <w:vertAlign w:val="superscript"/>
          <w14:ligatures w14:val="none"/>
        </w:rPr>
        <w:t>2</w:t>
      </w:r>
      <w:r w:rsidRPr="00D54BB0">
        <w:rPr>
          <w:kern w:val="0"/>
          <w14:ligatures w14:val="none"/>
        </w:rPr>
        <w:t xml:space="preserve"> (600,000) (.031 + .0025)</w:t>
      </w:r>
    </w:p>
    <w:p w14:paraId="33147EDA" w14:textId="77777777" w:rsidR="00D54BB0" w:rsidRPr="00D54BB0" w:rsidRDefault="00D54BB0" w:rsidP="009820D1">
      <w:pPr>
        <w:spacing w:after="0" w:line="240" w:lineRule="auto"/>
        <w:ind w:left="360"/>
        <w:rPr>
          <w:kern w:val="0"/>
          <w14:ligatures w14:val="none"/>
        </w:rPr>
      </w:pPr>
      <w:r w:rsidRPr="00D54BB0">
        <w:rPr>
          <w:kern w:val="0"/>
          <w:vertAlign w:val="superscript"/>
          <w14:ligatures w14:val="none"/>
        </w:rPr>
        <w:t>3</w:t>
      </w:r>
      <w:r w:rsidRPr="00D54BB0">
        <w:rPr>
          <w:kern w:val="0"/>
          <w14:ligatures w14:val="none"/>
        </w:rPr>
        <w:t xml:space="preserve"> (600,000) (.037 + .0025)</w:t>
      </w:r>
    </w:p>
    <w:p w14:paraId="345340B2" w14:textId="77777777" w:rsidR="00D54BB0" w:rsidRPr="00D54BB0" w:rsidRDefault="00D54BB0" w:rsidP="009820D1">
      <w:pPr>
        <w:spacing w:after="0" w:line="240" w:lineRule="auto"/>
        <w:ind w:left="360"/>
        <w:rPr>
          <w:kern w:val="0"/>
          <w14:ligatures w14:val="none"/>
        </w:rPr>
      </w:pPr>
      <w:r w:rsidRPr="00D54BB0">
        <w:rPr>
          <w:kern w:val="0"/>
          <w:vertAlign w:val="superscript"/>
          <w14:ligatures w14:val="none"/>
        </w:rPr>
        <w:t>4</w:t>
      </w:r>
      <w:r w:rsidRPr="00D54BB0">
        <w:rPr>
          <w:kern w:val="0"/>
          <w14:ligatures w14:val="none"/>
        </w:rPr>
        <w:t xml:space="preserve"> -21,000 + 20,100</w:t>
      </w:r>
    </w:p>
    <w:p w14:paraId="78E5BBC9" w14:textId="77777777" w:rsidR="00D54BB0" w:rsidRPr="00D54BB0" w:rsidRDefault="00D54BB0" w:rsidP="009820D1">
      <w:pPr>
        <w:spacing w:after="0" w:line="240" w:lineRule="auto"/>
        <w:ind w:left="360"/>
        <w:rPr>
          <w:kern w:val="0"/>
          <w14:ligatures w14:val="none"/>
        </w:rPr>
      </w:pPr>
      <w:r w:rsidRPr="00D54BB0">
        <w:rPr>
          <w:kern w:val="0"/>
          <w:vertAlign w:val="superscript"/>
          <w14:ligatures w14:val="none"/>
        </w:rPr>
        <w:t>5</w:t>
      </w:r>
      <w:r w:rsidRPr="00D54BB0">
        <w:rPr>
          <w:kern w:val="0"/>
          <w14:ligatures w14:val="none"/>
        </w:rPr>
        <w:t xml:space="preserve"> -21,000 + 23,700</w:t>
      </w:r>
    </w:p>
    <w:p w14:paraId="20620708" w14:textId="77777777" w:rsidR="00D54BB0" w:rsidRPr="00D54BB0" w:rsidRDefault="00D54BB0" w:rsidP="009820D1">
      <w:pPr>
        <w:spacing w:after="0" w:line="240" w:lineRule="auto"/>
        <w:ind w:left="360"/>
        <w:rPr>
          <w:kern w:val="0"/>
          <w14:ligatures w14:val="none"/>
        </w:rPr>
      </w:pPr>
      <w:r w:rsidRPr="00D54BB0">
        <w:rPr>
          <w:kern w:val="0"/>
          <w:vertAlign w:val="superscript"/>
          <w14:ligatures w14:val="none"/>
        </w:rPr>
        <w:t>6</w:t>
      </w:r>
      <w:r w:rsidRPr="00D54BB0">
        <w:rPr>
          <w:kern w:val="0"/>
          <w14:ligatures w14:val="none"/>
        </w:rPr>
        <w:t xml:space="preserve"> (600,000) (.031 + .0025)</w:t>
      </w:r>
    </w:p>
    <w:p w14:paraId="6BB47EDE" w14:textId="77777777" w:rsidR="00D54BB0" w:rsidRPr="00D54BB0" w:rsidRDefault="00D54BB0" w:rsidP="009820D1">
      <w:pPr>
        <w:spacing w:after="0" w:line="240" w:lineRule="auto"/>
        <w:ind w:left="360"/>
        <w:rPr>
          <w:kern w:val="0"/>
          <w14:ligatures w14:val="none"/>
        </w:rPr>
      </w:pPr>
      <w:r w:rsidRPr="00D54BB0">
        <w:rPr>
          <w:kern w:val="0"/>
          <w:vertAlign w:val="superscript"/>
          <w14:ligatures w14:val="none"/>
        </w:rPr>
        <w:t>7</w:t>
      </w:r>
      <w:r w:rsidRPr="00D54BB0">
        <w:rPr>
          <w:kern w:val="0"/>
          <w14:ligatures w14:val="none"/>
        </w:rPr>
        <w:t xml:space="preserve"> (600,000) (.037 + .0025)</w:t>
      </w:r>
    </w:p>
    <w:p w14:paraId="0673F700" w14:textId="77777777" w:rsidR="00D54BB0" w:rsidRPr="00D54BB0" w:rsidRDefault="00D54BB0" w:rsidP="009820D1">
      <w:pPr>
        <w:spacing w:after="0" w:line="240" w:lineRule="auto"/>
        <w:ind w:left="360"/>
        <w:rPr>
          <w:kern w:val="0"/>
          <w14:ligatures w14:val="none"/>
        </w:rPr>
      </w:pPr>
      <w:r w:rsidRPr="00D54BB0">
        <w:rPr>
          <w:kern w:val="0"/>
          <w:vertAlign w:val="superscript"/>
          <w14:ligatures w14:val="none"/>
        </w:rPr>
        <w:t>8</w:t>
      </w:r>
      <w:r w:rsidRPr="00D54BB0">
        <w:rPr>
          <w:kern w:val="0"/>
          <w14:ligatures w14:val="none"/>
        </w:rPr>
        <w:t xml:space="preserve"> -20,100 + (-900)</w:t>
      </w:r>
    </w:p>
    <w:p w14:paraId="29D7614A" w14:textId="77777777" w:rsidR="00D54BB0" w:rsidRPr="00D54BB0" w:rsidRDefault="00D54BB0" w:rsidP="009820D1">
      <w:pPr>
        <w:spacing w:after="0" w:line="240" w:lineRule="auto"/>
        <w:ind w:left="360"/>
        <w:rPr>
          <w:kern w:val="0"/>
          <w14:ligatures w14:val="none"/>
        </w:rPr>
      </w:pPr>
      <w:r w:rsidRPr="00D54BB0">
        <w:rPr>
          <w:kern w:val="0"/>
          <w:vertAlign w:val="superscript"/>
          <w14:ligatures w14:val="none"/>
        </w:rPr>
        <w:t>9</w:t>
      </w:r>
      <w:r w:rsidRPr="00D54BB0">
        <w:rPr>
          <w:kern w:val="0"/>
          <w14:ligatures w14:val="none"/>
        </w:rPr>
        <w:t xml:space="preserve"> -23,700 + 2,700</w:t>
      </w:r>
    </w:p>
    <w:p w14:paraId="46BC26C1" w14:textId="77777777" w:rsidR="00D54BB0" w:rsidRPr="00D54BB0" w:rsidRDefault="00D54BB0" w:rsidP="00D54BB0">
      <w:pPr>
        <w:spacing w:after="0" w:line="240" w:lineRule="auto"/>
        <w:rPr>
          <w:kern w:val="0"/>
          <w14:ligatures w14:val="none"/>
        </w:rPr>
      </w:pPr>
    </w:p>
    <w:p w14:paraId="3B278FE8" w14:textId="77777777" w:rsidR="00D54BB0" w:rsidRPr="00D54BB0" w:rsidRDefault="00D54BB0" w:rsidP="00D54BB0">
      <w:pPr>
        <w:rPr>
          <w:kern w:val="0"/>
          <w14:ligatures w14:val="none"/>
        </w:rPr>
      </w:pPr>
      <w:r w:rsidRPr="00D54BB0">
        <w:rPr>
          <w:kern w:val="0"/>
          <w14:ligatures w14:val="none"/>
        </w:rPr>
        <w:br w:type="page"/>
      </w:r>
    </w:p>
    <w:p w14:paraId="4DFFEB91" w14:textId="77777777" w:rsidR="00D54BB0" w:rsidRDefault="00D54BB0" w:rsidP="00D54BB0">
      <w:pPr>
        <w:spacing w:after="0" w:line="240" w:lineRule="auto"/>
        <w:rPr>
          <w:kern w:val="0"/>
          <w:szCs w:val="24"/>
          <w14:ligatures w14:val="none"/>
        </w:rPr>
      </w:pPr>
    </w:p>
    <w:p w14:paraId="06CCDD40" w14:textId="77777777" w:rsidR="00D54BB0" w:rsidRPr="00D54BB0" w:rsidRDefault="00D54BB0" w:rsidP="00D54BB0">
      <w:pPr>
        <w:tabs>
          <w:tab w:val="left" w:pos="2610"/>
        </w:tabs>
        <w:spacing w:after="0" w:line="240" w:lineRule="auto"/>
        <w:rPr>
          <w:b/>
          <w:bCs/>
          <w:kern w:val="0"/>
          <w:sz w:val="28"/>
          <w14:ligatures w14:val="none"/>
        </w:rPr>
      </w:pPr>
      <w:r w:rsidRPr="00D54BB0">
        <w:rPr>
          <w:b/>
          <w:bCs/>
          <w:kern w:val="0"/>
          <w:sz w:val="28"/>
          <w14:ligatures w14:val="none"/>
        </w:rPr>
        <w:t>Market to Market of Futures Contracts</w:t>
      </w:r>
    </w:p>
    <w:p w14:paraId="1A8192DD" w14:textId="77777777" w:rsidR="00D54BB0" w:rsidRDefault="00D54BB0" w:rsidP="00D54BB0">
      <w:pPr>
        <w:spacing w:after="0" w:line="240" w:lineRule="auto"/>
        <w:rPr>
          <w:kern w:val="0"/>
          <w:szCs w:val="24"/>
          <w14:ligatures w14:val="none"/>
        </w:rPr>
      </w:pPr>
    </w:p>
    <w:p w14:paraId="1E3FD72F" w14:textId="6EE655D2" w:rsidR="009820D1" w:rsidRPr="00D54BB0" w:rsidRDefault="00D54BB0" w:rsidP="00D54BB0">
      <w:pPr>
        <w:spacing w:after="0" w:line="240" w:lineRule="auto"/>
        <w:rPr>
          <w:kern w:val="0"/>
          <w:szCs w:val="24"/>
          <w14:ligatures w14:val="none"/>
        </w:rPr>
      </w:pPr>
      <w:r>
        <w:rPr>
          <w:kern w:val="0"/>
          <w:szCs w:val="24"/>
          <w14:ligatures w14:val="none"/>
        </w:rPr>
        <w:t>1.</w:t>
      </w:r>
    </w:p>
    <w:tbl>
      <w:tblPr>
        <w:tblStyle w:val="TableGrid"/>
        <w:tblW w:w="0" w:type="auto"/>
        <w:tblInd w:w="1345" w:type="dxa"/>
        <w:tblLook w:val="04A0" w:firstRow="1" w:lastRow="0" w:firstColumn="1" w:lastColumn="0" w:noHBand="0" w:noVBand="1"/>
      </w:tblPr>
      <w:tblGrid>
        <w:gridCol w:w="720"/>
        <w:gridCol w:w="900"/>
        <w:gridCol w:w="3420"/>
        <w:gridCol w:w="1800"/>
      </w:tblGrid>
      <w:tr w:rsidR="00D54BB0" w:rsidRPr="00D54BB0" w14:paraId="6B71EB9E" w14:textId="77777777" w:rsidTr="009820D1">
        <w:tc>
          <w:tcPr>
            <w:tcW w:w="720" w:type="dxa"/>
            <w:vAlign w:val="center"/>
          </w:tcPr>
          <w:p w14:paraId="2180F12C" w14:textId="77777777" w:rsidR="00D54BB0" w:rsidRPr="00D54BB0" w:rsidRDefault="00D54BB0" w:rsidP="00D54BB0">
            <w:pPr>
              <w:jc w:val="center"/>
              <w:rPr>
                <w:b/>
                <w:bCs/>
                <w:sz w:val="20"/>
                <w:szCs w:val="20"/>
              </w:rPr>
            </w:pPr>
            <w:r w:rsidRPr="00D54BB0">
              <w:rPr>
                <w:b/>
                <w:bCs/>
                <w:sz w:val="20"/>
                <w:szCs w:val="20"/>
              </w:rPr>
              <w:t>Day</w:t>
            </w:r>
          </w:p>
        </w:tc>
        <w:tc>
          <w:tcPr>
            <w:tcW w:w="900" w:type="dxa"/>
            <w:vAlign w:val="center"/>
          </w:tcPr>
          <w:p w14:paraId="6AB0E665" w14:textId="77777777" w:rsidR="00D54BB0" w:rsidRPr="00D54BB0" w:rsidRDefault="00D54BB0" w:rsidP="00D54BB0">
            <w:pPr>
              <w:jc w:val="center"/>
              <w:rPr>
                <w:b/>
                <w:bCs/>
                <w:sz w:val="20"/>
                <w:szCs w:val="20"/>
              </w:rPr>
            </w:pPr>
            <w:r w:rsidRPr="00D54BB0">
              <w:rPr>
                <w:b/>
                <w:bCs/>
                <w:sz w:val="20"/>
                <w:szCs w:val="20"/>
              </w:rPr>
              <w:t>Spot Price</w:t>
            </w:r>
          </w:p>
        </w:tc>
        <w:tc>
          <w:tcPr>
            <w:tcW w:w="3420" w:type="dxa"/>
            <w:vAlign w:val="center"/>
          </w:tcPr>
          <w:p w14:paraId="1F83A07D" w14:textId="77777777" w:rsidR="00D54BB0" w:rsidRPr="00D54BB0" w:rsidRDefault="00D54BB0" w:rsidP="00D54BB0">
            <w:pPr>
              <w:jc w:val="center"/>
              <w:rPr>
                <w:b/>
                <w:bCs/>
                <w:sz w:val="20"/>
                <w:szCs w:val="20"/>
              </w:rPr>
            </w:pPr>
            <w:r w:rsidRPr="00D54BB0">
              <w:rPr>
                <w:b/>
                <w:bCs/>
                <w:sz w:val="20"/>
                <w:szCs w:val="20"/>
              </w:rPr>
              <w:t>Daily Gain or Loss</w:t>
            </w:r>
          </w:p>
        </w:tc>
        <w:tc>
          <w:tcPr>
            <w:tcW w:w="1800" w:type="dxa"/>
            <w:vAlign w:val="center"/>
          </w:tcPr>
          <w:p w14:paraId="17B08F30" w14:textId="77777777" w:rsidR="00D54BB0" w:rsidRPr="00D54BB0" w:rsidRDefault="00D54BB0" w:rsidP="00D54BB0">
            <w:pPr>
              <w:jc w:val="center"/>
              <w:rPr>
                <w:b/>
                <w:bCs/>
                <w:sz w:val="20"/>
                <w:szCs w:val="20"/>
              </w:rPr>
            </w:pPr>
            <w:r w:rsidRPr="00D54BB0">
              <w:rPr>
                <w:b/>
                <w:bCs/>
                <w:sz w:val="20"/>
                <w:szCs w:val="20"/>
              </w:rPr>
              <w:t>Margin Account Balance</w:t>
            </w:r>
          </w:p>
        </w:tc>
      </w:tr>
      <w:tr w:rsidR="00D54BB0" w:rsidRPr="00D54BB0" w14:paraId="7FB7BD3B" w14:textId="77777777" w:rsidTr="009820D1">
        <w:tc>
          <w:tcPr>
            <w:tcW w:w="720" w:type="dxa"/>
          </w:tcPr>
          <w:p w14:paraId="0C68FBAC" w14:textId="77777777" w:rsidR="00D54BB0" w:rsidRPr="00D54BB0" w:rsidRDefault="00D54BB0" w:rsidP="00D54BB0">
            <w:pPr>
              <w:jc w:val="center"/>
              <w:rPr>
                <w:sz w:val="20"/>
                <w:szCs w:val="20"/>
              </w:rPr>
            </w:pPr>
            <w:r w:rsidRPr="00D54BB0">
              <w:rPr>
                <w:sz w:val="20"/>
                <w:szCs w:val="20"/>
              </w:rPr>
              <w:t>0</w:t>
            </w:r>
          </w:p>
        </w:tc>
        <w:tc>
          <w:tcPr>
            <w:tcW w:w="900" w:type="dxa"/>
          </w:tcPr>
          <w:p w14:paraId="328B9EEC" w14:textId="77777777" w:rsidR="00D54BB0" w:rsidRPr="00D54BB0" w:rsidRDefault="00D54BB0" w:rsidP="00D54BB0">
            <w:pPr>
              <w:jc w:val="center"/>
              <w:rPr>
                <w:sz w:val="20"/>
                <w:szCs w:val="20"/>
              </w:rPr>
            </w:pPr>
            <w:r w:rsidRPr="00D54BB0">
              <w:rPr>
                <w:sz w:val="20"/>
                <w:szCs w:val="20"/>
              </w:rPr>
              <w:t>1,912.2</w:t>
            </w:r>
          </w:p>
        </w:tc>
        <w:tc>
          <w:tcPr>
            <w:tcW w:w="3420" w:type="dxa"/>
          </w:tcPr>
          <w:p w14:paraId="315C885F" w14:textId="77777777" w:rsidR="00D54BB0" w:rsidRPr="00D54BB0" w:rsidRDefault="00D54BB0" w:rsidP="00D54BB0">
            <w:pPr>
              <w:rPr>
                <w:sz w:val="20"/>
                <w:szCs w:val="20"/>
              </w:rPr>
            </w:pPr>
            <w:r w:rsidRPr="00D54BB0">
              <w:rPr>
                <w:sz w:val="20"/>
                <w:szCs w:val="20"/>
              </w:rPr>
              <w:t>400 x 1,912.2 x 0.06 = 45,892.8</w:t>
            </w:r>
          </w:p>
        </w:tc>
        <w:tc>
          <w:tcPr>
            <w:tcW w:w="1800" w:type="dxa"/>
          </w:tcPr>
          <w:p w14:paraId="45E866AC" w14:textId="77777777" w:rsidR="00D54BB0" w:rsidRPr="00D54BB0" w:rsidRDefault="00D54BB0" w:rsidP="00D54BB0">
            <w:pPr>
              <w:jc w:val="center"/>
              <w:rPr>
                <w:sz w:val="20"/>
                <w:szCs w:val="20"/>
              </w:rPr>
            </w:pPr>
            <w:r w:rsidRPr="00D54BB0">
              <w:rPr>
                <w:sz w:val="20"/>
                <w:szCs w:val="20"/>
              </w:rPr>
              <w:t>45,892.8</w:t>
            </w:r>
          </w:p>
        </w:tc>
      </w:tr>
      <w:tr w:rsidR="00D54BB0" w:rsidRPr="00D54BB0" w14:paraId="58A19E81" w14:textId="77777777" w:rsidTr="009820D1">
        <w:tc>
          <w:tcPr>
            <w:tcW w:w="720" w:type="dxa"/>
          </w:tcPr>
          <w:p w14:paraId="46E37E17" w14:textId="77777777" w:rsidR="00D54BB0" w:rsidRPr="00D54BB0" w:rsidRDefault="00D54BB0" w:rsidP="00D54BB0">
            <w:pPr>
              <w:jc w:val="center"/>
              <w:rPr>
                <w:sz w:val="20"/>
                <w:szCs w:val="20"/>
              </w:rPr>
            </w:pPr>
            <w:r w:rsidRPr="00D54BB0">
              <w:rPr>
                <w:sz w:val="20"/>
                <w:szCs w:val="20"/>
              </w:rPr>
              <w:t>1</w:t>
            </w:r>
          </w:p>
        </w:tc>
        <w:tc>
          <w:tcPr>
            <w:tcW w:w="900" w:type="dxa"/>
          </w:tcPr>
          <w:p w14:paraId="2069035C" w14:textId="77777777" w:rsidR="00D54BB0" w:rsidRPr="00D54BB0" w:rsidRDefault="00D54BB0" w:rsidP="00D54BB0">
            <w:pPr>
              <w:jc w:val="center"/>
              <w:rPr>
                <w:sz w:val="20"/>
                <w:szCs w:val="20"/>
              </w:rPr>
            </w:pPr>
            <w:r w:rsidRPr="00D54BB0">
              <w:rPr>
                <w:sz w:val="20"/>
                <w:szCs w:val="20"/>
              </w:rPr>
              <w:t>1,910.1</w:t>
            </w:r>
          </w:p>
        </w:tc>
        <w:tc>
          <w:tcPr>
            <w:tcW w:w="3420" w:type="dxa"/>
          </w:tcPr>
          <w:p w14:paraId="77B2B370" w14:textId="77777777" w:rsidR="00D54BB0" w:rsidRPr="00D54BB0" w:rsidRDefault="00D54BB0" w:rsidP="00D54BB0">
            <w:pPr>
              <w:rPr>
                <w:sz w:val="20"/>
                <w:szCs w:val="20"/>
              </w:rPr>
            </w:pPr>
            <w:r w:rsidRPr="00D54BB0">
              <w:rPr>
                <w:sz w:val="20"/>
                <w:szCs w:val="20"/>
              </w:rPr>
              <w:t>400 x (1,912.2 – 1,910.1) = 840.0</w:t>
            </w:r>
          </w:p>
        </w:tc>
        <w:tc>
          <w:tcPr>
            <w:tcW w:w="1800" w:type="dxa"/>
          </w:tcPr>
          <w:p w14:paraId="1D9AD9C8" w14:textId="77777777" w:rsidR="00D54BB0" w:rsidRPr="00D54BB0" w:rsidRDefault="00D54BB0" w:rsidP="00D54BB0">
            <w:pPr>
              <w:jc w:val="center"/>
              <w:rPr>
                <w:sz w:val="20"/>
                <w:szCs w:val="20"/>
              </w:rPr>
            </w:pPr>
            <w:r w:rsidRPr="00D54BB0">
              <w:rPr>
                <w:sz w:val="20"/>
                <w:szCs w:val="20"/>
              </w:rPr>
              <w:t>46,732.8</w:t>
            </w:r>
          </w:p>
        </w:tc>
      </w:tr>
      <w:tr w:rsidR="00D54BB0" w:rsidRPr="00D54BB0" w14:paraId="4967ECCE" w14:textId="77777777" w:rsidTr="009820D1">
        <w:tc>
          <w:tcPr>
            <w:tcW w:w="720" w:type="dxa"/>
          </w:tcPr>
          <w:p w14:paraId="4B4A9454" w14:textId="77777777" w:rsidR="00D54BB0" w:rsidRPr="00D54BB0" w:rsidRDefault="00D54BB0" w:rsidP="00D54BB0">
            <w:pPr>
              <w:jc w:val="center"/>
              <w:rPr>
                <w:sz w:val="20"/>
                <w:szCs w:val="20"/>
              </w:rPr>
            </w:pPr>
            <w:r w:rsidRPr="00D54BB0">
              <w:rPr>
                <w:sz w:val="20"/>
                <w:szCs w:val="20"/>
              </w:rPr>
              <w:t>2</w:t>
            </w:r>
          </w:p>
        </w:tc>
        <w:tc>
          <w:tcPr>
            <w:tcW w:w="900" w:type="dxa"/>
          </w:tcPr>
          <w:p w14:paraId="07292FB6" w14:textId="77777777" w:rsidR="00D54BB0" w:rsidRPr="00D54BB0" w:rsidRDefault="00D54BB0" w:rsidP="00D54BB0">
            <w:pPr>
              <w:jc w:val="center"/>
              <w:rPr>
                <w:sz w:val="20"/>
                <w:szCs w:val="20"/>
              </w:rPr>
            </w:pPr>
            <w:r w:rsidRPr="00D54BB0">
              <w:rPr>
                <w:sz w:val="20"/>
                <w:szCs w:val="20"/>
              </w:rPr>
              <w:t>1,915.9</w:t>
            </w:r>
          </w:p>
        </w:tc>
        <w:tc>
          <w:tcPr>
            <w:tcW w:w="3420" w:type="dxa"/>
          </w:tcPr>
          <w:p w14:paraId="521820BF" w14:textId="77777777" w:rsidR="00D54BB0" w:rsidRPr="00D54BB0" w:rsidRDefault="00D54BB0" w:rsidP="00D54BB0">
            <w:pPr>
              <w:rPr>
                <w:sz w:val="20"/>
                <w:szCs w:val="20"/>
              </w:rPr>
            </w:pPr>
            <w:r w:rsidRPr="00D54BB0">
              <w:rPr>
                <w:sz w:val="20"/>
                <w:szCs w:val="20"/>
              </w:rPr>
              <w:t>400 x (1,910.1 – 1,915.9) = -2,320.0</w:t>
            </w:r>
          </w:p>
        </w:tc>
        <w:tc>
          <w:tcPr>
            <w:tcW w:w="1800" w:type="dxa"/>
          </w:tcPr>
          <w:p w14:paraId="02AD321B" w14:textId="77777777" w:rsidR="00D54BB0" w:rsidRPr="00D54BB0" w:rsidRDefault="00D54BB0" w:rsidP="00D54BB0">
            <w:pPr>
              <w:jc w:val="center"/>
              <w:rPr>
                <w:sz w:val="20"/>
                <w:szCs w:val="20"/>
              </w:rPr>
            </w:pPr>
            <w:r w:rsidRPr="00D54BB0">
              <w:rPr>
                <w:sz w:val="20"/>
                <w:szCs w:val="20"/>
              </w:rPr>
              <w:t>44,412.8</w:t>
            </w:r>
          </w:p>
        </w:tc>
      </w:tr>
      <w:tr w:rsidR="00D54BB0" w:rsidRPr="00D54BB0" w14:paraId="79C9006F" w14:textId="77777777" w:rsidTr="009820D1">
        <w:tc>
          <w:tcPr>
            <w:tcW w:w="720" w:type="dxa"/>
          </w:tcPr>
          <w:p w14:paraId="32F4811E" w14:textId="77777777" w:rsidR="00D54BB0" w:rsidRPr="00D54BB0" w:rsidRDefault="00D54BB0" w:rsidP="00D54BB0">
            <w:pPr>
              <w:jc w:val="center"/>
              <w:rPr>
                <w:sz w:val="20"/>
                <w:szCs w:val="20"/>
              </w:rPr>
            </w:pPr>
            <w:r w:rsidRPr="00D54BB0">
              <w:rPr>
                <w:sz w:val="20"/>
                <w:szCs w:val="20"/>
              </w:rPr>
              <w:t>3</w:t>
            </w:r>
          </w:p>
        </w:tc>
        <w:tc>
          <w:tcPr>
            <w:tcW w:w="900" w:type="dxa"/>
          </w:tcPr>
          <w:p w14:paraId="690A240D" w14:textId="77777777" w:rsidR="00D54BB0" w:rsidRPr="00D54BB0" w:rsidRDefault="00D54BB0" w:rsidP="00D54BB0">
            <w:pPr>
              <w:jc w:val="center"/>
              <w:rPr>
                <w:sz w:val="20"/>
                <w:szCs w:val="20"/>
              </w:rPr>
            </w:pPr>
            <w:r w:rsidRPr="00D54BB0">
              <w:rPr>
                <w:sz w:val="20"/>
                <w:szCs w:val="20"/>
              </w:rPr>
              <w:t>1,958.2</w:t>
            </w:r>
          </w:p>
        </w:tc>
        <w:tc>
          <w:tcPr>
            <w:tcW w:w="3420" w:type="dxa"/>
          </w:tcPr>
          <w:p w14:paraId="451603DA" w14:textId="77777777" w:rsidR="00D54BB0" w:rsidRPr="00D54BB0" w:rsidRDefault="00D54BB0" w:rsidP="00D54BB0">
            <w:pPr>
              <w:rPr>
                <w:sz w:val="20"/>
                <w:szCs w:val="20"/>
              </w:rPr>
            </w:pPr>
            <w:r w:rsidRPr="00D54BB0">
              <w:rPr>
                <w:sz w:val="20"/>
                <w:szCs w:val="20"/>
              </w:rPr>
              <w:t>400 x (1,915.9 - 1,958.2) = -16,920.0</w:t>
            </w:r>
          </w:p>
        </w:tc>
        <w:tc>
          <w:tcPr>
            <w:tcW w:w="1800" w:type="dxa"/>
          </w:tcPr>
          <w:p w14:paraId="789EA912" w14:textId="77777777" w:rsidR="00D54BB0" w:rsidRPr="00D54BB0" w:rsidRDefault="00D54BB0" w:rsidP="00D54BB0">
            <w:pPr>
              <w:jc w:val="center"/>
              <w:rPr>
                <w:sz w:val="20"/>
                <w:szCs w:val="20"/>
              </w:rPr>
            </w:pPr>
            <w:r w:rsidRPr="00D54BB0">
              <w:rPr>
                <w:sz w:val="20"/>
                <w:szCs w:val="20"/>
              </w:rPr>
              <w:t>27,492.8</w:t>
            </w:r>
          </w:p>
        </w:tc>
      </w:tr>
      <w:tr w:rsidR="00D54BB0" w:rsidRPr="00D54BB0" w14:paraId="7DAEE8F2" w14:textId="77777777" w:rsidTr="009820D1">
        <w:tc>
          <w:tcPr>
            <w:tcW w:w="5040" w:type="dxa"/>
            <w:gridSpan w:val="3"/>
          </w:tcPr>
          <w:p w14:paraId="2F22ADEB" w14:textId="77777777" w:rsidR="00D54BB0" w:rsidRPr="00D54BB0" w:rsidRDefault="00D54BB0" w:rsidP="00D54BB0">
            <w:pPr>
              <w:jc w:val="center"/>
              <w:rPr>
                <w:sz w:val="20"/>
                <w:szCs w:val="20"/>
              </w:rPr>
            </w:pPr>
            <w:r w:rsidRPr="00D54BB0">
              <w:rPr>
                <w:sz w:val="20"/>
                <w:szCs w:val="20"/>
              </w:rPr>
              <w:t>Maintenance margin 45,892.8 x 0.75 = 34,419.6</w:t>
            </w:r>
          </w:p>
          <w:p w14:paraId="6076D321" w14:textId="77777777" w:rsidR="00D54BB0" w:rsidRPr="00D54BB0" w:rsidRDefault="00D54BB0" w:rsidP="00D54BB0">
            <w:pPr>
              <w:jc w:val="center"/>
              <w:rPr>
                <w:sz w:val="20"/>
                <w:szCs w:val="20"/>
              </w:rPr>
            </w:pPr>
            <w:r w:rsidRPr="00D54BB0">
              <w:rPr>
                <w:sz w:val="20"/>
                <w:szCs w:val="20"/>
              </w:rPr>
              <w:t>Margin call 45,892.8 – 27,492.8 = 18,400.0</w:t>
            </w:r>
          </w:p>
        </w:tc>
        <w:tc>
          <w:tcPr>
            <w:tcW w:w="1800" w:type="dxa"/>
          </w:tcPr>
          <w:p w14:paraId="498E931F" w14:textId="77777777" w:rsidR="00D54BB0" w:rsidRPr="00D54BB0" w:rsidRDefault="00D54BB0" w:rsidP="00D54BB0">
            <w:pPr>
              <w:jc w:val="center"/>
              <w:rPr>
                <w:sz w:val="20"/>
                <w:szCs w:val="20"/>
              </w:rPr>
            </w:pPr>
            <w:r w:rsidRPr="00D54BB0">
              <w:rPr>
                <w:sz w:val="20"/>
                <w:szCs w:val="20"/>
              </w:rPr>
              <w:t>45,892.8</w:t>
            </w:r>
          </w:p>
        </w:tc>
      </w:tr>
      <w:tr w:rsidR="00D54BB0" w:rsidRPr="00D54BB0" w14:paraId="681C0184" w14:textId="77777777" w:rsidTr="009820D1">
        <w:tc>
          <w:tcPr>
            <w:tcW w:w="720" w:type="dxa"/>
          </w:tcPr>
          <w:p w14:paraId="3A2B8034" w14:textId="77777777" w:rsidR="00D54BB0" w:rsidRPr="00D54BB0" w:rsidRDefault="00D54BB0" w:rsidP="00D54BB0">
            <w:pPr>
              <w:jc w:val="center"/>
              <w:rPr>
                <w:sz w:val="20"/>
                <w:szCs w:val="20"/>
              </w:rPr>
            </w:pPr>
            <w:r w:rsidRPr="00D54BB0">
              <w:rPr>
                <w:sz w:val="20"/>
                <w:szCs w:val="20"/>
              </w:rPr>
              <w:t>4</w:t>
            </w:r>
          </w:p>
        </w:tc>
        <w:tc>
          <w:tcPr>
            <w:tcW w:w="900" w:type="dxa"/>
          </w:tcPr>
          <w:p w14:paraId="31E22122" w14:textId="77777777" w:rsidR="00D54BB0" w:rsidRPr="00D54BB0" w:rsidRDefault="00D54BB0" w:rsidP="00D54BB0">
            <w:pPr>
              <w:jc w:val="center"/>
              <w:rPr>
                <w:sz w:val="20"/>
                <w:szCs w:val="20"/>
              </w:rPr>
            </w:pPr>
            <w:r w:rsidRPr="00D54BB0">
              <w:rPr>
                <w:sz w:val="20"/>
                <w:szCs w:val="20"/>
              </w:rPr>
              <w:t>1,925.3</w:t>
            </w:r>
          </w:p>
        </w:tc>
        <w:tc>
          <w:tcPr>
            <w:tcW w:w="3420" w:type="dxa"/>
          </w:tcPr>
          <w:p w14:paraId="4B1DF1D0" w14:textId="77777777" w:rsidR="00D54BB0" w:rsidRPr="00D54BB0" w:rsidRDefault="00D54BB0" w:rsidP="00D54BB0">
            <w:pPr>
              <w:rPr>
                <w:sz w:val="20"/>
                <w:szCs w:val="20"/>
              </w:rPr>
            </w:pPr>
            <w:r w:rsidRPr="00D54BB0">
              <w:rPr>
                <w:sz w:val="20"/>
                <w:szCs w:val="20"/>
              </w:rPr>
              <w:t>400 x (1,958.2 - 1,925.3) = 13,160.0</w:t>
            </w:r>
          </w:p>
        </w:tc>
        <w:tc>
          <w:tcPr>
            <w:tcW w:w="1800" w:type="dxa"/>
          </w:tcPr>
          <w:p w14:paraId="56D297F2" w14:textId="77777777" w:rsidR="00D54BB0" w:rsidRPr="00D54BB0" w:rsidRDefault="00D54BB0" w:rsidP="00D54BB0">
            <w:pPr>
              <w:jc w:val="center"/>
              <w:rPr>
                <w:sz w:val="20"/>
                <w:szCs w:val="20"/>
              </w:rPr>
            </w:pPr>
            <w:r w:rsidRPr="00D54BB0">
              <w:rPr>
                <w:sz w:val="20"/>
                <w:szCs w:val="20"/>
              </w:rPr>
              <w:t>59,052.8</w:t>
            </w:r>
          </w:p>
        </w:tc>
      </w:tr>
    </w:tbl>
    <w:p w14:paraId="157326A8" w14:textId="77777777" w:rsidR="00D54BB0" w:rsidRPr="00D54BB0" w:rsidRDefault="00D54BB0" w:rsidP="00D54BB0">
      <w:pPr>
        <w:rPr>
          <w:kern w:val="0"/>
          <w14:ligatures w14:val="none"/>
        </w:rPr>
      </w:pPr>
      <w:r w:rsidRPr="00D54BB0">
        <w:rPr>
          <w:kern w:val="0"/>
          <w14:ligatures w14:val="none"/>
        </w:rPr>
        <w:br w:type="page"/>
      </w:r>
    </w:p>
    <w:p w14:paraId="7E95F8A7" w14:textId="77777777" w:rsidR="00D54BB0" w:rsidRPr="00D54BB0" w:rsidRDefault="00D54BB0" w:rsidP="00D54BB0">
      <w:pPr>
        <w:tabs>
          <w:tab w:val="left" w:pos="2610"/>
        </w:tabs>
        <w:spacing w:after="0" w:line="240" w:lineRule="auto"/>
        <w:rPr>
          <w:kern w:val="0"/>
          <w14:ligatures w14:val="none"/>
        </w:rPr>
      </w:pPr>
    </w:p>
    <w:p w14:paraId="5A712D2E" w14:textId="68D549BC" w:rsidR="00D54BB0" w:rsidRPr="00D54BB0" w:rsidRDefault="00D54BB0" w:rsidP="00D54BB0">
      <w:pPr>
        <w:tabs>
          <w:tab w:val="left" w:pos="2610"/>
        </w:tabs>
        <w:spacing w:after="0" w:line="240" w:lineRule="auto"/>
        <w:rPr>
          <w:b/>
          <w:bCs/>
          <w:kern w:val="0"/>
          <w:sz w:val="28"/>
          <w14:ligatures w14:val="none"/>
        </w:rPr>
      </w:pPr>
      <w:r w:rsidRPr="00D54BB0">
        <w:rPr>
          <w:b/>
          <w:bCs/>
          <w:kern w:val="0"/>
          <w:sz w:val="28"/>
          <w14:ligatures w14:val="none"/>
        </w:rPr>
        <w:t>Hedging Commodity Risk Using Short Hedge</w:t>
      </w:r>
      <w:r>
        <w:rPr>
          <w:b/>
          <w:bCs/>
          <w:kern w:val="0"/>
          <w:sz w:val="28"/>
          <w14:ligatures w14:val="none"/>
        </w:rPr>
        <w:t>s</w:t>
      </w:r>
    </w:p>
    <w:p w14:paraId="42DF2A22" w14:textId="77777777" w:rsidR="00D54BB0" w:rsidRPr="00D54BB0" w:rsidRDefault="00D54BB0" w:rsidP="00D54BB0">
      <w:pPr>
        <w:tabs>
          <w:tab w:val="left" w:pos="2610"/>
        </w:tabs>
        <w:spacing w:after="0" w:line="240" w:lineRule="auto"/>
        <w:rPr>
          <w:kern w:val="0"/>
          <w14:ligatures w14:val="none"/>
        </w:rPr>
      </w:pPr>
    </w:p>
    <w:p w14:paraId="06602DD3" w14:textId="3032703E" w:rsidR="00D54BB0" w:rsidRPr="00D54BB0" w:rsidRDefault="00D54BB0" w:rsidP="00D54BB0">
      <w:pPr>
        <w:numPr>
          <w:ilvl w:val="0"/>
          <w:numId w:val="28"/>
        </w:numPr>
        <w:tabs>
          <w:tab w:val="left" w:pos="2610"/>
        </w:tabs>
        <w:spacing w:after="0" w:line="240" w:lineRule="auto"/>
        <w:ind w:left="360"/>
        <w:contextualSpacing/>
        <w:rPr>
          <w:kern w:val="0"/>
          <w14:ligatures w14:val="none"/>
        </w:rPr>
      </w:pPr>
      <w:r w:rsidRPr="00D54BB0">
        <w:rPr>
          <w:kern w:val="0"/>
          <w14:ligatures w14:val="none"/>
        </w:rPr>
        <w:t xml:space="preserve">The spot price rose so Ponderosa lost USD 26,125 ((516.50 - 535.50) x ((27,500 x 50) / 1,000)) on the short hedge, but this was compensated for by a gain of USD 26,125 ((535.50 – 516.50) x (1,375,000 / 1,000) when the lumber was sold at above the final settlement price.  Ponderosa successfully </w:t>
      </w:r>
      <w:r w:rsidR="00ED7C0E">
        <w:rPr>
          <w:kern w:val="0"/>
          <w14:ligatures w14:val="none"/>
        </w:rPr>
        <w:t>locked in</w:t>
      </w:r>
      <w:r w:rsidRPr="00D54BB0">
        <w:rPr>
          <w:kern w:val="0"/>
          <w14:ligatures w14:val="none"/>
        </w:rPr>
        <w:t xml:space="preserve"> the final settlement price of USD 516.50.</w:t>
      </w:r>
    </w:p>
    <w:p w14:paraId="32CAB877" w14:textId="77777777" w:rsidR="00D54BB0" w:rsidRPr="00D54BB0" w:rsidRDefault="00D54BB0" w:rsidP="00D54BB0">
      <w:pPr>
        <w:tabs>
          <w:tab w:val="left" w:pos="2610"/>
        </w:tabs>
        <w:spacing w:after="0" w:line="240" w:lineRule="auto"/>
        <w:rPr>
          <w:kern w:val="0"/>
          <w14:ligatures w14:val="none"/>
        </w:rPr>
      </w:pPr>
    </w:p>
    <w:p w14:paraId="26138BA4" w14:textId="77777777" w:rsidR="00D54BB0" w:rsidRPr="00D54BB0" w:rsidRDefault="00D54BB0" w:rsidP="00D54BB0">
      <w:pPr>
        <w:rPr>
          <w:b/>
          <w:bCs/>
          <w:kern w:val="0"/>
          <w:sz w:val="28"/>
          <w14:ligatures w14:val="none"/>
        </w:rPr>
      </w:pPr>
      <w:r w:rsidRPr="00D54BB0">
        <w:rPr>
          <w:b/>
          <w:bCs/>
          <w:kern w:val="0"/>
          <w:sz w:val="28"/>
          <w14:ligatures w14:val="none"/>
        </w:rPr>
        <w:br w:type="page"/>
      </w:r>
    </w:p>
    <w:p w14:paraId="6BC7FC97" w14:textId="77777777" w:rsidR="00D54BB0" w:rsidRPr="00D54BB0" w:rsidRDefault="00D54BB0" w:rsidP="00D54BB0">
      <w:pPr>
        <w:tabs>
          <w:tab w:val="left" w:pos="2610"/>
        </w:tabs>
        <w:spacing w:after="0" w:line="240" w:lineRule="auto"/>
        <w:rPr>
          <w:b/>
          <w:bCs/>
          <w:kern w:val="0"/>
          <w:sz w:val="28"/>
          <w14:ligatures w14:val="none"/>
        </w:rPr>
      </w:pPr>
    </w:p>
    <w:p w14:paraId="72322F4E" w14:textId="7A6056A2" w:rsidR="00D54BB0" w:rsidRPr="00D54BB0" w:rsidRDefault="00D54BB0" w:rsidP="00D54BB0">
      <w:pPr>
        <w:tabs>
          <w:tab w:val="left" w:pos="2610"/>
        </w:tabs>
        <w:spacing w:after="0" w:line="240" w:lineRule="auto"/>
        <w:rPr>
          <w:b/>
          <w:bCs/>
          <w:kern w:val="0"/>
          <w:sz w:val="28"/>
          <w14:ligatures w14:val="none"/>
        </w:rPr>
      </w:pPr>
      <w:r w:rsidRPr="00D54BB0">
        <w:rPr>
          <w:b/>
          <w:bCs/>
          <w:kern w:val="0"/>
          <w:sz w:val="28"/>
          <w14:ligatures w14:val="none"/>
        </w:rPr>
        <w:t xml:space="preserve">Hedging Commodity Risk Using Long </w:t>
      </w:r>
      <w:r>
        <w:rPr>
          <w:b/>
          <w:bCs/>
          <w:kern w:val="0"/>
          <w:sz w:val="28"/>
          <w14:ligatures w14:val="none"/>
        </w:rPr>
        <w:t>H</w:t>
      </w:r>
      <w:r w:rsidRPr="00D54BB0">
        <w:rPr>
          <w:b/>
          <w:bCs/>
          <w:kern w:val="0"/>
          <w:sz w:val="28"/>
          <w14:ligatures w14:val="none"/>
        </w:rPr>
        <w:t>edge</w:t>
      </w:r>
      <w:r>
        <w:rPr>
          <w:b/>
          <w:bCs/>
          <w:kern w:val="0"/>
          <w:sz w:val="28"/>
          <w14:ligatures w14:val="none"/>
        </w:rPr>
        <w:t>s</w:t>
      </w:r>
    </w:p>
    <w:p w14:paraId="0A4DA652" w14:textId="77777777" w:rsidR="00D54BB0" w:rsidRPr="00D54BB0" w:rsidRDefault="00D54BB0" w:rsidP="00D54BB0">
      <w:pPr>
        <w:spacing w:after="0" w:line="240" w:lineRule="auto"/>
        <w:rPr>
          <w:kern w:val="0"/>
          <w14:ligatures w14:val="none"/>
        </w:rPr>
      </w:pPr>
    </w:p>
    <w:p w14:paraId="5FF24951" w14:textId="2F0BC306" w:rsidR="00D54BB0" w:rsidRPr="00D54BB0" w:rsidRDefault="00D54BB0" w:rsidP="00D54BB0">
      <w:pPr>
        <w:numPr>
          <w:ilvl w:val="0"/>
          <w:numId w:val="30"/>
        </w:numPr>
        <w:spacing w:after="0" w:line="240" w:lineRule="auto"/>
        <w:ind w:left="360"/>
        <w:contextualSpacing/>
        <w:rPr>
          <w:kern w:val="0"/>
          <w14:ligatures w14:val="none"/>
        </w:rPr>
      </w:pPr>
      <w:r w:rsidRPr="00D54BB0">
        <w:rPr>
          <w:kern w:val="0"/>
          <w14:ligatures w14:val="none"/>
        </w:rPr>
        <w:t xml:space="preserve">The spot price fell so Delicious Meats lost USD 800,000 ((159.30 – 179.30) x 100 x 40,000) / 100) on the long hedge, but this was compensated for by a gain of USD 800,000 ((179.30 – 159.30) x 4,000,000) / 100) when the live cattle were purchased at below the final settlement price.  Delicious Meats successfully </w:t>
      </w:r>
      <w:r w:rsidR="00ED7C0E">
        <w:rPr>
          <w:kern w:val="0"/>
          <w14:ligatures w14:val="none"/>
        </w:rPr>
        <w:t>locked in</w:t>
      </w:r>
      <w:r w:rsidRPr="00D54BB0">
        <w:rPr>
          <w:kern w:val="0"/>
          <w14:ligatures w14:val="none"/>
        </w:rPr>
        <w:t xml:space="preserve"> the final settlement price of USD 179.30 cents per pound.</w:t>
      </w:r>
      <w:r w:rsidRPr="00D54BB0">
        <w:rPr>
          <w:kern w:val="0"/>
          <w14:ligatures w14:val="none"/>
        </w:rPr>
        <w:br w:type="page"/>
      </w:r>
    </w:p>
    <w:p w14:paraId="50B4183B" w14:textId="77777777" w:rsidR="00D54BB0" w:rsidRPr="00D54BB0" w:rsidRDefault="00D54BB0" w:rsidP="00D54BB0">
      <w:pPr>
        <w:tabs>
          <w:tab w:val="left" w:pos="2610"/>
        </w:tabs>
        <w:spacing w:after="0" w:line="240" w:lineRule="auto"/>
        <w:rPr>
          <w:kern w:val="0"/>
          <w14:ligatures w14:val="none"/>
        </w:rPr>
      </w:pPr>
    </w:p>
    <w:p w14:paraId="28127783" w14:textId="77777777" w:rsidR="00D54BB0" w:rsidRPr="00D54BB0" w:rsidRDefault="00D54BB0" w:rsidP="00D54BB0">
      <w:pPr>
        <w:tabs>
          <w:tab w:val="left" w:pos="2610"/>
        </w:tabs>
        <w:spacing w:after="0" w:line="240" w:lineRule="auto"/>
        <w:rPr>
          <w:b/>
          <w:bCs/>
          <w:kern w:val="0"/>
          <w:sz w:val="28"/>
          <w14:ligatures w14:val="none"/>
        </w:rPr>
      </w:pPr>
      <w:r w:rsidRPr="00D54BB0">
        <w:rPr>
          <w:b/>
          <w:bCs/>
          <w:kern w:val="0"/>
          <w:sz w:val="28"/>
          <w14:ligatures w14:val="none"/>
        </w:rPr>
        <w:t>Optimal Hedge Ratio for a Futures Contract</w:t>
      </w:r>
    </w:p>
    <w:p w14:paraId="677F9B87" w14:textId="77777777" w:rsidR="00D54BB0" w:rsidRPr="00D54BB0" w:rsidRDefault="00D54BB0" w:rsidP="00E67144">
      <w:pPr>
        <w:tabs>
          <w:tab w:val="left" w:pos="2610"/>
        </w:tabs>
        <w:spacing w:after="0" w:line="240" w:lineRule="auto"/>
        <w:rPr>
          <w:kern w:val="0"/>
          <w14:ligatures w14:val="none"/>
        </w:rPr>
      </w:pPr>
    </w:p>
    <w:p w14:paraId="257E7A10" w14:textId="77777777" w:rsidR="00D54BB0" w:rsidRPr="00D54BB0" w:rsidRDefault="00D54BB0" w:rsidP="00E67144">
      <w:pPr>
        <w:spacing w:after="0" w:line="240" w:lineRule="auto"/>
        <w:rPr>
          <w:kern w:val="0"/>
          <w14:ligatures w14:val="none"/>
        </w:rPr>
      </w:pPr>
      <w:r w:rsidRPr="00D54BB0">
        <w:rPr>
          <w:rFonts w:hint="cs"/>
          <w:kern w:val="0"/>
          <w14:ligatures w14:val="none"/>
        </w:rPr>
        <w:t>1.</w:t>
      </w:r>
    </w:p>
    <w:p w14:paraId="63FE007C" w14:textId="77777777" w:rsidR="00F306FE" w:rsidRDefault="00D54BB0" w:rsidP="00E67144">
      <w:pPr>
        <w:spacing w:after="0" w:line="240" w:lineRule="auto"/>
        <w:ind w:left="360"/>
        <w:rPr>
          <w:rFonts w:eastAsiaTheme="minorEastAsia"/>
          <w:kern w:val="0"/>
          <w:szCs w:val="24"/>
          <w14:ligatures w14:val="none"/>
        </w:rPr>
      </w:pPr>
      <w:r w:rsidRPr="00D54BB0">
        <w:rPr>
          <w:rFonts w:hint="cs"/>
          <w:kern w:val="0"/>
          <w:szCs w:val="24"/>
          <w14:ligatures w14:val="none"/>
        </w:rPr>
        <w:t>h* =</w:t>
      </w:r>
      <m:oMath>
        <m:r>
          <w:rPr>
            <w:rFonts w:ascii="Cambria Math" w:hAnsi="Cambria Math" w:hint="cs"/>
            <w:kern w:val="0"/>
            <w:szCs w:val="24"/>
            <w14:ligatures w14:val="none"/>
          </w:rPr>
          <m:t xml:space="preserve"> 0.95 ( </m:t>
        </m:r>
        <m:f>
          <m:fPr>
            <m:ctrlPr>
              <w:rPr>
                <w:rFonts w:ascii="Cambria Math" w:hAnsi="Cambria Math" w:hint="cs"/>
                <w:i/>
                <w:kern w:val="0"/>
                <w:szCs w:val="24"/>
                <w14:ligatures w14:val="none"/>
              </w:rPr>
            </m:ctrlPr>
          </m:fPr>
          <m:num>
            <m:r>
              <w:rPr>
                <w:rFonts w:ascii="Cambria Math" w:hAnsi="Cambria Math" w:hint="cs"/>
                <w:kern w:val="0"/>
                <w:szCs w:val="24"/>
                <w14:ligatures w14:val="none"/>
              </w:rPr>
              <m:t>.03</m:t>
            </m:r>
          </m:num>
          <m:den>
            <m:r>
              <w:rPr>
                <w:rFonts w:ascii="Cambria Math" w:hAnsi="Cambria Math" w:hint="cs"/>
                <w:kern w:val="0"/>
                <w:szCs w:val="24"/>
                <w14:ligatures w14:val="none"/>
              </w:rPr>
              <m:t>.06</m:t>
            </m:r>
          </m:den>
        </m:f>
        <m:r>
          <w:rPr>
            <w:rFonts w:ascii="Cambria Math" w:hAnsi="Cambria Math" w:hint="cs"/>
            <w:kern w:val="0"/>
            <w:szCs w:val="24"/>
            <w14:ligatures w14:val="none"/>
          </w:rPr>
          <m:t xml:space="preserve"> ) </m:t>
        </m:r>
      </m:oMath>
      <w:r w:rsidRPr="00D54BB0">
        <w:rPr>
          <w:rFonts w:eastAsiaTheme="minorEastAsia" w:hint="cs"/>
          <w:kern w:val="0"/>
          <w:szCs w:val="24"/>
          <w14:ligatures w14:val="none"/>
        </w:rPr>
        <w:t>= 0.475</w:t>
      </w:r>
    </w:p>
    <w:p w14:paraId="3BA0C869" w14:textId="77777777" w:rsidR="00E67144" w:rsidRPr="00E67144" w:rsidRDefault="00E67144" w:rsidP="00E67144">
      <w:pPr>
        <w:spacing w:after="0" w:line="240" w:lineRule="auto"/>
        <w:ind w:left="360"/>
        <w:rPr>
          <w:rFonts w:eastAsiaTheme="minorEastAsia"/>
          <w:kern w:val="0"/>
          <w:szCs w:val="24"/>
          <w14:ligatures w14:val="none"/>
        </w:rPr>
      </w:pPr>
    </w:p>
    <w:p w14:paraId="0B307B0A" w14:textId="64B3E250" w:rsidR="00D54BB0" w:rsidRPr="00D54BB0" w:rsidRDefault="00D54BB0" w:rsidP="00E67144">
      <w:pPr>
        <w:spacing w:after="0" w:line="240" w:lineRule="auto"/>
        <w:ind w:left="360"/>
        <w:rPr>
          <w:rFonts w:eastAsiaTheme="minorEastAsia"/>
          <w:kern w:val="0"/>
          <w:szCs w:val="24"/>
          <w14:ligatures w14:val="none"/>
        </w:rPr>
      </w:pPr>
      <w:r w:rsidRPr="00D54BB0">
        <w:rPr>
          <w:rFonts w:eastAsiaTheme="minorEastAsia" w:hint="cs"/>
          <w:kern w:val="0"/>
          <w:szCs w:val="24"/>
          <w14:ligatures w14:val="none"/>
        </w:rPr>
        <w:t>n = 0.475 (</w:t>
      </w:r>
      <m:oMath>
        <m:f>
          <m:fPr>
            <m:ctrlPr>
              <w:rPr>
                <w:rFonts w:ascii="Cambria Math" w:eastAsiaTheme="minorEastAsia" w:hAnsi="Cambria Math" w:hint="cs"/>
                <w:i/>
                <w:kern w:val="0"/>
                <w:szCs w:val="24"/>
                <w14:ligatures w14:val="none"/>
              </w:rPr>
            </m:ctrlPr>
          </m:fPr>
          <m:num>
            <m:r>
              <w:rPr>
                <w:rFonts w:ascii="Cambria Math" w:eastAsiaTheme="minorEastAsia" w:hAnsi="Cambria Math" w:hint="cs"/>
                <w:kern w:val="0"/>
                <w:szCs w:val="24"/>
                <w14:ligatures w14:val="none"/>
              </w:rPr>
              <m:t>15,000,000</m:t>
            </m:r>
          </m:num>
          <m:den>
            <m:r>
              <w:rPr>
                <w:rFonts w:ascii="Cambria Math" w:eastAsiaTheme="minorEastAsia" w:hAnsi="Cambria Math" w:hint="cs"/>
                <w:kern w:val="0"/>
                <w:szCs w:val="24"/>
                <w14:ligatures w14:val="none"/>
              </w:rPr>
              <m:t>42,000</m:t>
            </m:r>
          </m:den>
        </m:f>
      </m:oMath>
      <w:r w:rsidRPr="00D54BB0">
        <w:rPr>
          <w:rFonts w:eastAsiaTheme="minorEastAsia" w:hint="cs"/>
          <w:kern w:val="0"/>
          <w:szCs w:val="24"/>
          <w14:ligatures w14:val="none"/>
        </w:rPr>
        <w:t>) = 169.64 or 170 contracts</w:t>
      </w:r>
    </w:p>
    <w:p w14:paraId="5DECDBCE" w14:textId="77777777" w:rsidR="00D54BB0" w:rsidRPr="00D54BB0" w:rsidRDefault="00D54BB0" w:rsidP="00E67144">
      <w:pPr>
        <w:spacing w:after="0" w:line="240" w:lineRule="auto"/>
        <w:rPr>
          <w:kern w:val="0"/>
          <w14:ligatures w14:val="none"/>
        </w:rPr>
      </w:pPr>
      <w:r w:rsidRPr="00D54BB0">
        <w:rPr>
          <w:rFonts w:hint="cs"/>
          <w:kern w:val="0"/>
          <w14:ligatures w14:val="none"/>
        </w:rPr>
        <w:br w:type="page"/>
      </w:r>
    </w:p>
    <w:p w14:paraId="2DC67B82" w14:textId="77777777" w:rsidR="00D54BB0" w:rsidRDefault="00D54BB0" w:rsidP="00D54BB0">
      <w:pPr>
        <w:tabs>
          <w:tab w:val="left" w:pos="2610"/>
        </w:tabs>
        <w:spacing w:after="0" w:line="240" w:lineRule="auto"/>
        <w:rPr>
          <w:kern w:val="0"/>
          <w14:ligatures w14:val="none"/>
        </w:rPr>
      </w:pPr>
    </w:p>
    <w:p w14:paraId="5ADCE8EF" w14:textId="4BE04F79" w:rsidR="00D54BB0" w:rsidRPr="00D54BB0" w:rsidRDefault="00D54BB0" w:rsidP="00D54BB0">
      <w:pPr>
        <w:tabs>
          <w:tab w:val="left" w:pos="2610"/>
        </w:tabs>
        <w:spacing w:after="0" w:line="240" w:lineRule="auto"/>
        <w:rPr>
          <w:b/>
          <w:bCs/>
          <w:kern w:val="0"/>
          <w:sz w:val="28"/>
          <w14:ligatures w14:val="none"/>
        </w:rPr>
      </w:pPr>
      <w:r w:rsidRPr="00D54BB0">
        <w:rPr>
          <w:b/>
          <w:bCs/>
          <w:kern w:val="0"/>
          <w:sz w:val="28"/>
          <w14:ligatures w14:val="none"/>
        </w:rPr>
        <w:t xml:space="preserve">Hedging Commodity Risk </w:t>
      </w:r>
      <w:r w:rsidR="00ED7C0E">
        <w:rPr>
          <w:b/>
          <w:bCs/>
          <w:kern w:val="0"/>
          <w:sz w:val="28"/>
          <w14:ligatures w14:val="none"/>
        </w:rPr>
        <w:t>Using</w:t>
      </w:r>
      <w:r w:rsidRPr="00D54BB0">
        <w:rPr>
          <w:b/>
          <w:bCs/>
          <w:kern w:val="0"/>
          <w:sz w:val="28"/>
          <w14:ligatures w14:val="none"/>
        </w:rPr>
        <w:t xml:space="preserve"> Call </w:t>
      </w:r>
      <w:r w:rsidR="00ED7C0E">
        <w:rPr>
          <w:b/>
          <w:bCs/>
          <w:kern w:val="0"/>
          <w:sz w:val="28"/>
          <w14:ligatures w14:val="none"/>
        </w:rPr>
        <w:t>Option</w:t>
      </w:r>
      <w:r w:rsidRPr="00D54BB0">
        <w:rPr>
          <w:b/>
          <w:bCs/>
          <w:kern w:val="0"/>
          <w:sz w:val="28"/>
          <w14:ligatures w14:val="none"/>
        </w:rPr>
        <w:t xml:space="preserve"> Contracts</w:t>
      </w:r>
    </w:p>
    <w:p w14:paraId="67E10624" w14:textId="77777777" w:rsidR="00D54BB0" w:rsidRPr="00D54BB0" w:rsidRDefault="00D54BB0" w:rsidP="00D54BB0">
      <w:pPr>
        <w:spacing w:after="0" w:line="240" w:lineRule="auto"/>
        <w:rPr>
          <w:kern w:val="0"/>
          <w:szCs w:val="24"/>
          <w14:ligatures w14:val="none"/>
        </w:rPr>
      </w:pPr>
    </w:p>
    <w:p w14:paraId="3EB593CE" w14:textId="45CE38FC" w:rsidR="00D54BB0" w:rsidRPr="00D54BB0" w:rsidRDefault="00D54BB0" w:rsidP="00D54BB0">
      <w:pPr>
        <w:numPr>
          <w:ilvl w:val="0"/>
          <w:numId w:val="32"/>
        </w:numPr>
        <w:spacing w:after="0" w:line="240" w:lineRule="auto"/>
        <w:ind w:left="360"/>
        <w:contextualSpacing/>
        <w:rPr>
          <w:kern w:val="0"/>
          <w:szCs w:val="24"/>
          <w14:ligatures w14:val="none"/>
        </w:rPr>
      </w:pPr>
      <w:r w:rsidRPr="00D54BB0">
        <w:rPr>
          <w:kern w:val="0"/>
          <w:szCs w:val="24"/>
          <w14:ligatures w14:val="none"/>
        </w:rPr>
        <w:t>The spot price rose above the strike price, so the contract is “in the money.”  Mosaic would gain USD 305,625 ((1,150.0 – 870.0 – 35.5) x 50 x 25) on the call options contracts when the position is closed</w:t>
      </w:r>
      <w:r w:rsidR="00ED7C0E">
        <w:rPr>
          <w:kern w:val="0"/>
          <w:szCs w:val="24"/>
          <w14:ligatures w14:val="none"/>
        </w:rPr>
        <w:t>,</w:t>
      </w:r>
      <w:r w:rsidRPr="00D54BB0">
        <w:rPr>
          <w:kern w:val="0"/>
          <w:szCs w:val="24"/>
          <w14:ligatures w14:val="none"/>
        </w:rPr>
        <w:t xml:space="preserve"> which includes the premium costs.  This approximately covers its losses of USD 350,000 ((1,150.0 – 870.0) x 50 x 25) from having to pay more when it buys the platinum at a higher spot price on the cash market.  </w:t>
      </w:r>
    </w:p>
    <w:p w14:paraId="56F421EC" w14:textId="77777777" w:rsidR="00D54BB0" w:rsidRPr="00D54BB0" w:rsidRDefault="00D54BB0" w:rsidP="00D54BB0">
      <w:pPr>
        <w:spacing w:after="0" w:line="240" w:lineRule="auto"/>
        <w:rPr>
          <w:kern w:val="0"/>
          <w:szCs w:val="24"/>
          <w14:ligatures w14:val="none"/>
        </w:rPr>
      </w:pPr>
    </w:p>
    <w:p w14:paraId="6EC63DA3" w14:textId="6DF2D36E" w:rsidR="00D54BB0" w:rsidRPr="00D54BB0" w:rsidRDefault="00D54BB0" w:rsidP="00D54BB0">
      <w:pPr>
        <w:numPr>
          <w:ilvl w:val="0"/>
          <w:numId w:val="32"/>
        </w:numPr>
        <w:spacing w:after="0" w:line="240" w:lineRule="auto"/>
        <w:ind w:left="360"/>
        <w:contextualSpacing/>
        <w:rPr>
          <w:kern w:val="0"/>
          <w:szCs w:val="24"/>
          <w14:ligatures w14:val="none"/>
        </w:rPr>
      </w:pPr>
      <w:r w:rsidRPr="00D54BB0">
        <w:rPr>
          <w:kern w:val="0"/>
          <w:szCs w:val="24"/>
          <w14:ligatures w14:val="none"/>
        </w:rPr>
        <w:t>The options contracts would be “out of the money</w:t>
      </w:r>
      <w:r w:rsidR="00ED7C0E">
        <w:rPr>
          <w:kern w:val="0"/>
          <w:szCs w:val="24"/>
          <w14:ligatures w14:val="none"/>
        </w:rPr>
        <w:t>,</w:t>
      </w:r>
      <w:r w:rsidRPr="00D54BB0">
        <w:rPr>
          <w:kern w:val="0"/>
          <w:szCs w:val="24"/>
          <w14:ligatures w14:val="none"/>
        </w:rPr>
        <w:t>” so they would not be exercised.  Mosaic would gain USD 36,875.0 ((870.0 – 805.0 – 35.5) x 50 x 25) when the spot price on the cash market fell below the strike price</w:t>
      </w:r>
      <w:r w:rsidR="00ED7C0E">
        <w:rPr>
          <w:kern w:val="0"/>
          <w:szCs w:val="24"/>
          <w14:ligatures w14:val="none"/>
        </w:rPr>
        <w:t>,</w:t>
      </w:r>
      <w:r w:rsidRPr="00D54BB0">
        <w:rPr>
          <w:kern w:val="0"/>
          <w:szCs w:val="24"/>
          <w14:ligatures w14:val="none"/>
        </w:rPr>
        <w:t xml:space="preserve"> including premium costs.</w:t>
      </w:r>
    </w:p>
    <w:p w14:paraId="46378D6D" w14:textId="77777777" w:rsidR="00D54BB0" w:rsidRPr="00D54BB0" w:rsidRDefault="00D54BB0" w:rsidP="00D54BB0">
      <w:pPr>
        <w:spacing w:after="0" w:line="240" w:lineRule="auto"/>
        <w:rPr>
          <w:b/>
          <w:bCs/>
          <w:kern w:val="0"/>
          <w:sz w:val="28"/>
          <w14:ligatures w14:val="none"/>
        </w:rPr>
      </w:pPr>
    </w:p>
    <w:p w14:paraId="5C396823" w14:textId="77777777" w:rsidR="00D54BB0" w:rsidRPr="00D54BB0" w:rsidRDefault="00D54BB0" w:rsidP="00D54BB0">
      <w:pPr>
        <w:spacing w:after="0" w:line="240" w:lineRule="auto"/>
        <w:rPr>
          <w:b/>
          <w:bCs/>
          <w:kern w:val="0"/>
          <w:sz w:val="28"/>
          <w14:ligatures w14:val="none"/>
        </w:rPr>
      </w:pPr>
      <w:r w:rsidRPr="00D54BB0">
        <w:rPr>
          <w:b/>
          <w:bCs/>
          <w:kern w:val="0"/>
          <w:sz w:val="28"/>
          <w14:ligatures w14:val="none"/>
        </w:rPr>
        <w:br w:type="page"/>
      </w:r>
    </w:p>
    <w:p w14:paraId="215CE2E1" w14:textId="77777777" w:rsidR="00D54BB0" w:rsidRPr="00D54BB0" w:rsidRDefault="00D54BB0" w:rsidP="00D54BB0">
      <w:pPr>
        <w:tabs>
          <w:tab w:val="left" w:pos="2610"/>
        </w:tabs>
        <w:spacing w:after="0" w:line="240" w:lineRule="auto"/>
        <w:rPr>
          <w:b/>
          <w:bCs/>
          <w:kern w:val="0"/>
          <w:sz w:val="28"/>
          <w14:ligatures w14:val="none"/>
        </w:rPr>
      </w:pPr>
    </w:p>
    <w:p w14:paraId="03319D17" w14:textId="1EBC8801" w:rsidR="00D54BB0" w:rsidRPr="00D54BB0" w:rsidRDefault="00D54BB0" w:rsidP="00D54BB0">
      <w:pPr>
        <w:tabs>
          <w:tab w:val="left" w:pos="2610"/>
        </w:tabs>
        <w:spacing w:after="0" w:line="240" w:lineRule="auto"/>
        <w:rPr>
          <w:b/>
          <w:bCs/>
          <w:kern w:val="0"/>
          <w:sz w:val="28"/>
          <w14:ligatures w14:val="none"/>
        </w:rPr>
      </w:pPr>
      <w:r w:rsidRPr="00D54BB0">
        <w:rPr>
          <w:b/>
          <w:bCs/>
          <w:kern w:val="0"/>
          <w:sz w:val="28"/>
          <w14:ligatures w14:val="none"/>
        </w:rPr>
        <w:t xml:space="preserve">Hedging Commodity Risk </w:t>
      </w:r>
      <w:r w:rsidR="00ED7C0E">
        <w:rPr>
          <w:b/>
          <w:bCs/>
          <w:kern w:val="0"/>
          <w:sz w:val="28"/>
          <w14:ligatures w14:val="none"/>
        </w:rPr>
        <w:t>Using</w:t>
      </w:r>
      <w:r w:rsidRPr="00D54BB0">
        <w:rPr>
          <w:b/>
          <w:bCs/>
          <w:kern w:val="0"/>
          <w:sz w:val="28"/>
          <w14:ligatures w14:val="none"/>
        </w:rPr>
        <w:t xml:space="preserve"> Put </w:t>
      </w:r>
      <w:r w:rsidR="00ED7C0E">
        <w:rPr>
          <w:b/>
          <w:bCs/>
          <w:kern w:val="0"/>
          <w:sz w:val="28"/>
          <w14:ligatures w14:val="none"/>
        </w:rPr>
        <w:t>Option</w:t>
      </w:r>
      <w:r w:rsidRPr="00D54BB0">
        <w:rPr>
          <w:b/>
          <w:bCs/>
          <w:kern w:val="0"/>
          <w:sz w:val="28"/>
          <w14:ligatures w14:val="none"/>
        </w:rPr>
        <w:t xml:space="preserve"> Contracts</w:t>
      </w:r>
    </w:p>
    <w:p w14:paraId="21642F5C" w14:textId="77777777" w:rsidR="00D54BB0" w:rsidRPr="00D54BB0" w:rsidRDefault="00D54BB0" w:rsidP="00D54BB0">
      <w:pPr>
        <w:spacing w:after="0" w:line="240" w:lineRule="auto"/>
        <w:rPr>
          <w:kern w:val="0"/>
          <w:szCs w:val="24"/>
          <w14:ligatures w14:val="none"/>
        </w:rPr>
      </w:pPr>
    </w:p>
    <w:p w14:paraId="1B799226" w14:textId="057DD823" w:rsidR="00D54BB0" w:rsidRPr="00D54BB0" w:rsidRDefault="00D54BB0" w:rsidP="00D54BB0">
      <w:pPr>
        <w:numPr>
          <w:ilvl w:val="0"/>
          <w:numId w:val="34"/>
        </w:numPr>
        <w:spacing w:after="0" w:line="240" w:lineRule="auto"/>
        <w:ind w:left="360"/>
        <w:contextualSpacing/>
        <w:rPr>
          <w:kern w:val="0"/>
          <w:szCs w:val="24"/>
          <w14:ligatures w14:val="none"/>
        </w:rPr>
      </w:pPr>
      <w:r w:rsidRPr="00D54BB0">
        <w:rPr>
          <w:kern w:val="0"/>
          <w:szCs w:val="24"/>
          <w14:ligatures w14:val="none"/>
        </w:rPr>
        <w:t xml:space="preserve">The spot price fell below the strike price, so the put </w:t>
      </w:r>
      <w:r w:rsidR="00ED7C0E">
        <w:rPr>
          <w:kern w:val="0"/>
          <w:szCs w:val="24"/>
          <w14:ligatures w14:val="none"/>
        </w:rPr>
        <w:t>option</w:t>
      </w:r>
      <w:r w:rsidRPr="00D54BB0">
        <w:rPr>
          <w:kern w:val="0"/>
          <w:szCs w:val="24"/>
          <w14:ligatures w14:val="none"/>
        </w:rPr>
        <w:t xml:space="preserve"> contracts are “in the money.”  Hughes Oil would gain USD 6,095,000 ((82.52 – 68.21 – 2.12) x 1,000 x 500) on the put options contracts when the position is closed</w:t>
      </w:r>
      <w:r w:rsidR="00ED7C0E">
        <w:rPr>
          <w:kern w:val="0"/>
          <w:szCs w:val="24"/>
          <w14:ligatures w14:val="none"/>
        </w:rPr>
        <w:t>,</w:t>
      </w:r>
      <w:r w:rsidRPr="00D54BB0">
        <w:rPr>
          <w:kern w:val="0"/>
          <w:szCs w:val="24"/>
          <w14:ligatures w14:val="none"/>
        </w:rPr>
        <w:t xml:space="preserve"> which includes the premium costs.  This approximately covers its losses of USD 7,155,000 ((68.21 – 82.52) x 1,000 x 500) when it sells the oil at a lower spot price on the cash market.  </w:t>
      </w:r>
    </w:p>
    <w:p w14:paraId="21E88F5A" w14:textId="77777777" w:rsidR="00D54BB0" w:rsidRPr="00D54BB0" w:rsidRDefault="00D54BB0" w:rsidP="00D54BB0">
      <w:pPr>
        <w:spacing w:after="0" w:line="240" w:lineRule="auto"/>
        <w:rPr>
          <w:kern w:val="0"/>
          <w:szCs w:val="24"/>
          <w14:ligatures w14:val="none"/>
        </w:rPr>
      </w:pPr>
    </w:p>
    <w:p w14:paraId="71D03779" w14:textId="655BCFA8" w:rsidR="00D54BB0" w:rsidRPr="00D54BB0" w:rsidRDefault="00D54BB0" w:rsidP="00D54BB0">
      <w:pPr>
        <w:numPr>
          <w:ilvl w:val="0"/>
          <w:numId w:val="34"/>
        </w:numPr>
        <w:spacing w:after="0" w:line="240" w:lineRule="auto"/>
        <w:ind w:left="360"/>
        <w:contextualSpacing/>
        <w:rPr>
          <w:kern w:val="0"/>
          <w:szCs w:val="24"/>
          <w14:ligatures w14:val="none"/>
        </w:rPr>
      </w:pPr>
      <w:r w:rsidRPr="00D54BB0">
        <w:rPr>
          <w:kern w:val="0"/>
          <w:szCs w:val="24"/>
          <w14:ligatures w14:val="none"/>
        </w:rPr>
        <w:t xml:space="preserve">The put </w:t>
      </w:r>
      <w:r w:rsidR="00ED7C0E">
        <w:rPr>
          <w:kern w:val="0"/>
          <w:szCs w:val="24"/>
          <w14:ligatures w14:val="none"/>
        </w:rPr>
        <w:t>option</w:t>
      </w:r>
      <w:r w:rsidRPr="00D54BB0">
        <w:rPr>
          <w:kern w:val="0"/>
          <w:szCs w:val="24"/>
          <w14:ligatures w14:val="none"/>
        </w:rPr>
        <w:t xml:space="preserve"> contracts would be “out of the money,” so they would not be exercised.  Hughes Oil would gain USD 6,055,000 ((96.75 – 82.52 – 2.12) x 1,000 x 500) when the spot price on the cash market rises above the strike price</w:t>
      </w:r>
      <w:r w:rsidR="00ED7C0E">
        <w:rPr>
          <w:kern w:val="0"/>
          <w:szCs w:val="24"/>
          <w14:ligatures w14:val="none"/>
        </w:rPr>
        <w:t>,</w:t>
      </w:r>
      <w:r w:rsidRPr="00D54BB0">
        <w:rPr>
          <w:kern w:val="0"/>
          <w:szCs w:val="24"/>
          <w14:ligatures w14:val="none"/>
        </w:rPr>
        <w:t xml:space="preserve"> including premium costs.</w:t>
      </w:r>
    </w:p>
    <w:p w14:paraId="5BED1D9C" w14:textId="77777777" w:rsidR="00D54BB0" w:rsidRPr="00D54BB0" w:rsidRDefault="00D54BB0" w:rsidP="00D54BB0">
      <w:pPr>
        <w:tabs>
          <w:tab w:val="left" w:pos="2610"/>
        </w:tabs>
        <w:spacing w:after="0" w:line="240" w:lineRule="auto"/>
        <w:rPr>
          <w:kern w:val="0"/>
          <w14:ligatures w14:val="none"/>
        </w:rPr>
      </w:pPr>
    </w:p>
    <w:p w14:paraId="7E20E4A9" w14:textId="77777777" w:rsidR="00926F8D" w:rsidRDefault="00926F8D"/>
    <w:sectPr w:rsidR="00926F8D" w:rsidSect="00D54BB0">
      <w:headerReference w:type="default" r:id="rId7"/>
      <w:footerReference w:type="default" r:id="rId8"/>
      <w:pgSz w:w="12240" w:h="15840"/>
      <w:pgMar w:top="1008" w:right="1008"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34499" w14:textId="77777777" w:rsidR="00C04D01" w:rsidRDefault="00C04D01" w:rsidP="00D54BB0">
      <w:pPr>
        <w:spacing w:after="0" w:line="240" w:lineRule="auto"/>
      </w:pPr>
      <w:r>
        <w:separator/>
      </w:r>
    </w:p>
  </w:endnote>
  <w:endnote w:type="continuationSeparator" w:id="0">
    <w:p w14:paraId="0CDEA37F" w14:textId="77777777" w:rsidR="00C04D01" w:rsidRDefault="00C04D01" w:rsidP="00D54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sha">
    <w:panose1 w:val="020B0502040204020203"/>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78C6" w14:textId="77777777" w:rsidR="005335A6" w:rsidRDefault="002F3F7A">
    <w:pPr>
      <w:pStyle w:val="Footer"/>
    </w:pPr>
    <w:r>
      <w:pict w14:anchorId="35C81248">
        <v:rect id="_x0000_i1026" style="width:0;height:1.5pt" o:hralign="center" o:hrstd="t" o:hr="t" fillcolor="#a0a0a0" stroked="f"/>
      </w:pict>
    </w:r>
  </w:p>
  <w:p w14:paraId="4ADBF515" w14:textId="08ABB465" w:rsidR="005335A6" w:rsidRDefault="002F3F7A">
    <w:pPr>
      <w:pStyle w:val="Footer"/>
    </w:pPr>
    <w:r>
      <w:t xml:space="preserve">Hedging Financial Risk Using Derivatives                                                                           Page </w:t>
    </w:r>
    <w:r>
      <w:fldChar w:fldCharType="begin"/>
    </w:r>
    <w:r>
      <w:instrText xml:space="preserve"> PAGE   \* MERGEFORMAT </w:instrText>
    </w:r>
    <w:r>
      <w:fldChar w:fldCharType="separate"/>
    </w:r>
    <w:r>
      <w:rPr>
        <w:noProof/>
      </w:rPr>
      <w:t>1</w:t>
    </w:r>
    <w:r>
      <w:rPr>
        <w:noProof/>
      </w:rPr>
      <w:fldChar w:fldCharType="end"/>
    </w:r>
  </w:p>
  <w:p w14:paraId="73560676" w14:textId="77777777" w:rsidR="005335A6" w:rsidRDefault="00533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A25C3" w14:textId="77777777" w:rsidR="00C04D01" w:rsidRDefault="00C04D01" w:rsidP="00D54BB0">
      <w:pPr>
        <w:spacing w:after="0" w:line="240" w:lineRule="auto"/>
      </w:pPr>
      <w:r>
        <w:separator/>
      </w:r>
    </w:p>
  </w:footnote>
  <w:footnote w:type="continuationSeparator" w:id="0">
    <w:p w14:paraId="3171FA72" w14:textId="77777777" w:rsidR="00C04D01" w:rsidRDefault="00C04D01" w:rsidP="00D54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22082" w14:textId="77777777" w:rsidR="005335A6" w:rsidRDefault="002F3F7A">
    <w:pPr>
      <w:pStyle w:val="Header"/>
    </w:pPr>
    <w:r>
      <w:pict w14:anchorId="3295BED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DF0"/>
    <w:multiLevelType w:val="hybridMultilevel"/>
    <w:tmpl w:val="245E9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F0EC3"/>
    <w:multiLevelType w:val="hybridMultilevel"/>
    <w:tmpl w:val="1E4CC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C4743"/>
    <w:multiLevelType w:val="hybridMultilevel"/>
    <w:tmpl w:val="96CEC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450AC"/>
    <w:multiLevelType w:val="hybridMultilevel"/>
    <w:tmpl w:val="96363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55D2D"/>
    <w:multiLevelType w:val="hybridMultilevel"/>
    <w:tmpl w:val="7BEEC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321AC"/>
    <w:multiLevelType w:val="hybridMultilevel"/>
    <w:tmpl w:val="20001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4329C"/>
    <w:multiLevelType w:val="hybridMultilevel"/>
    <w:tmpl w:val="C82A8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52E67"/>
    <w:multiLevelType w:val="hybridMultilevel"/>
    <w:tmpl w:val="8F622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90460"/>
    <w:multiLevelType w:val="hybridMultilevel"/>
    <w:tmpl w:val="D7F68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123AC"/>
    <w:multiLevelType w:val="hybridMultilevel"/>
    <w:tmpl w:val="4BE2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57578"/>
    <w:multiLevelType w:val="hybridMultilevel"/>
    <w:tmpl w:val="BE6A7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42D34"/>
    <w:multiLevelType w:val="hybridMultilevel"/>
    <w:tmpl w:val="5CEC2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641FC"/>
    <w:multiLevelType w:val="hybridMultilevel"/>
    <w:tmpl w:val="B62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0000F3"/>
    <w:multiLevelType w:val="hybridMultilevel"/>
    <w:tmpl w:val="03F65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B2DD9"/>
    <w:multiLevelType w:val="hybridMultilevel"/>
    <w:tmpl w:val="3274F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D3A7D"/>
    <w:multiLevelType w:val="hybridMultilevel"/>
    <w:tmpl w:val="F926B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60186"/>
    <w:multiLevelType w:val="hybridMultilevel"/>
    <w:tmpl w:val="CD98C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3477A"/>
    <w:multiLevelType w:val="hybridMultilevel"/>
    <w:tmpl w:val="79843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66F35"/>
    <w:multiLevelType w:val="hybridMultilevel"/>
    <w:tmpl w:val="49DE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81E9A"/>
    <w:multiLevelType w:val="hybridMultilevel"/>
    <w:tmpl w:val="B9047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A161AF"/>
    <w:multiLevelType w:val="hybridMultilevel"/>
    <w:tmpl w:val="F418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1A1FF8"/>
    <w:multiLevelType w:val="hybridMultilevel"/>
    <w:tmpl w:val="BF2C9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87765"/>
    <w:multiLevelType w:val="hybridMultilevel"/>
    <w:tmpl w:val="C7D820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F22782"/>
    <w:multiLevelType w:val="hybridMultilevel"/>
    <w:tmpl w:val="4D96E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C53562"/>
    <w:multiLevelType w:val="hybridMultilevel"/>
    <w:tmpl w:val="38DE10E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3C3DA4"/>
    <w:multiLevelType w:val="hybridMultilevel"/>
    <w:tmpl w:val="C4267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FD5731"/>
    <w:multiLevelType w:val="hybridMultilevel"/>
    <w:tmpl w:val="0A0A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7B164B"/>
    <w:multiLevelType w:val="hybridMultilevel"/>
    <w:tmpl w:val="CF12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3F4497"/>
    <w:multiLevelType w:val="hybridMultilevel"/>
    <w:tmpl w:val="E4B80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7C410C"/>
    <w:multiLevelType w:val="hybridMultilevel"/>
    <w:tmpl w:val="09B60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BE2F2B"/>
    <w:multiLevelType w:val="hybridMultilevel"/>
    <w:tmpl w:val="19B0B906"/>
    <w:lvl w:ilvl="0" w:tplc="3AB0DA3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B3EBA"/>
    <w:multiLevelType w:val="hybridMultilevel"/>
    <w:tmpl w:val="38429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643F05"/>
    <w:multiLevelType w:val="hybridMultilevel"/>
    <w:tmpl w:val="C2DAC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7949E8"/>
    <w:multiLevelType w:val="hybridMultilevel"/>
    <w:tmpl w:val="25BAD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F44D33"/>
    <w:multiLevelType w:val="hybridMultilevel"/>
    <w:tmpl w:val="010ED9C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725311">
    <w:abstractNumId w:val="29"/>
  </w:num>
  <w:num w:numId="2" w16cid:durableId="1569340527">
    <w:abstractNumId w:val="19"/>
  </w:num>
  <w:num w:numId="3" w16cid:durableId="833573845">
    <w:abstractNumId w:val="1"/>
  </w:num>
  <w:num w:numId="4" w16cid:durableId="1282371930">
    <w:abstractNumId w:val="23"/>
  </w:num>
  <w:num w:numId="5" w16cid:durableId="1298144591">
    <w:abstractNumId w:val="31"/>
  </w:num>
  <w:num w:numId="6" w16cid:durableId="110784061">
    <w:abstractNumId w:val="28"/>
  </w:num>
  <w:num w:numId="7" w16cid:durableId="2046059244">
    <w:abstractNumId w:val="16"/>
  </w:num>
  <w:num w:numId="8" w16cid:durableId="921647434">
    <w:abstractNumId w:val="10"/>
  </w:num>
  <w:num w:numId="9" w16cid:durableId="299573336">
    <w:abstractNumId w:val="22"/>
  </w:num>
  <w:num w:numId="10" w16cid:durableId="177819421">
    <w:abstractNumId w:val="21"/>
  </w:num>
  <w:num w:numId="11" w16cid:durableId="1628969082">
    <w:abstractNumId w:val="27"/>
  </w:num>
  <w:num w:numId="12" w16cid:durableId="1179002304">
    <w:abstractNumId w:val="0"/>
  </w:num>
  <w:num w:numId="13" w16cid:durableId="1758094906">
    <w:abstractNumId w:val="26"/>
  </w:num>
  <w:num w:numId="14" w16cid:durableId="72553737">
    <w:abstractNumId w:val="30"/>
  </w:num>
  <w:num w:numId="15" w16cid:durableId="664816818">
    <w:abstractNumId w:val="8"/>
  </w:num>
  <w:num w:numId="16" w16cid:durableId="352727977">
    <w:abstractNumId w:val="4"/>
  </w:num>
  <w:num w:numId="17" w16cid:durableId="202449670">
    <w:abstractNumId w:val="18"/>
  </w:num>
  <w:num w:numId="18" w16cid:durableId="1389572436">
    <w:abstractNumId w:val="12"/>
  </w:num>
  <w:num w:numId="19" w16cid:durableId="287468296">
    <w:abstractNumId w:val="17"/>
  </w:num>
  <w:num w:numId="20" w16cid:durableId="1866821171">
    <w:abstractNumId w:val="13"/>
  </w:num>
  <w:num w:numId="21" w16cid:durableId="1715040857">
    <w:abstractNumId w:val="25"/>
  </w:num>
  <w:num w:numId="22" w16cid:durableId="14699322">
    <w:abstractNumId w:val="20"/>
  </w:num>
  <w:num w:numId="23" w16cid:durableId="990716542">
    <w:abstractNumId w:val="24"/>
  </w:num>
  <w:num w:numId="24" w16cid:durableId="1857646276">
    <w:abstractNumId w:val="34"/>
  </w:num>
  <w:num w:numId="25" w16cid:durableId="431440319">
    <w:abstractNumId w:val="9"/>
  </w:num>
  <w:num w:numId="26" w16cid:durableId="1933128193">
    <w:abstractNumId w:val="3"/>
  </w:num>
  <w:num w:numId="27" w16cid:durableId="373892354">
    <w:abstractNumId w:val="11"/>
  </w:num>
  <w:num w:numId="28" w16cid:durableId="2023360220">
    <w:abstractNumId w:val="2"/>
  </w:num>
  <w:num w:numId="29" w16cid:durableId="1125926048">
    <w:abstractNumId w:val="32"/>
  </w:num>
  <w:num w:numId="30" w16cid:durableId="68357287">
    <w:abstractNumId w:val="6"/>
  </w:num>
  <w:num w:numId="31" w16cid:durableId="382796606">
    <w:abstractNumId w:val="5"/>
  </w:num>
  <w:num w:numId="32" w16cid:durableId="586810349">
    <w:abstractNumId w:val="15"/>
  </w:num>
  <w:num w:numId="33" w16cid:durableId="1565220889">
    <w:abstractNumId w:val="14"/>
  </w:num>
  <w:num w:numId="34" w16cid:durableId="2077849674">
    <w:abstractNumId w:val="33"/>
  </w:num>
  <w:num w:numId="35" w16cid:durableId="21023298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B0"/>
    <w:rsid w:val="000D5BB1"/>
    <w:rsid w:val="001C3D5B"/>
    <w:rsid w:val="003C7D86"/>
    <w:rsid w:val="00461BCB"/>
    <w:rsid w:val="005335A6"/>
    <w:rsid w:val="0054430E"/>
    <w:rsid w:val="00760CDF"/>
    <w:rsid w:val="007611F1"/>
    <w:rsid w:val="007F30E3"/>
    <w:rsid w:val="00827649"/>
    <w:rsid w:val="00926F8D"/>
    <w:rsid w:val="009820D1"/>
    <w:rsid w:val="00B75D58"/>
    <w:rsid w:val="00C04D01"/>
    <w:rsid w:val="00C63F05"/>
    <w:rsid w:val="00D54BB0"/>
    <w:rsid w:val="00E44348"/>
    <w:rsid w:val="00E67144"/>
    <w:rsid w:val="00ED7C0E"/>
    <w:rsid w:val="00F306FE"/>
    <w:rsid w:val="00F6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93B20"/>
  <w15:chartTrackingRefBased/>
  <w15:docId w15:val="{10767318-FE28-495A-8955-49EFB0F8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sha" w:eastAsiaTheme="minorHAnsi" w:hAnsi="Gisha" w:cs="Gisha"/>
        <w:kern w:val="2"/>
        <w:sz w:val="24"/>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54BB0"/>
  </w:style>
  <w:style w:type="table" w:styleId="TableGrid">
    <w:name w:val="Table Grid"/>
    <w:basedOn w:val="TableNormal"/>
    <w:uiPriority w:val="39"/>
    <w:rsid w:val="00D54B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54BB0"/>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D54BB0"/>
    <w:rPr>
      <w:kern w:val="0"/>
      <w14:ligatures w14:val="none"/>
    </w:rPr>
  </w:style>
  <w:style w:type="paragraph" w:styleId="ListParagraph">
    <w:name w:val="List Paragraph"/>
    <w:basedOn w:val="Normal"/>
    <w:uiPriority w:val="34"/>
    <w:qFormat/>
    <w:rsid w:val="00D54BB0"/>
    <w:pPr>
      <w:ind w:left="720"/>
      <w:contextualSpacing/>
    </w:pPr>
    <w:rPr>
      <w:kern w:val="0"/>
      <w14:ligatures w14:val="none"/>
    </w:rPr>
  </w:style>
  <w:style w:type="paragraph" w:styleId="Title">
    <w:name w:val="Title"/>
    <w:basedOn w:val="Normal"/>
    <w:link w:val="TitleChar"/>
    <w:qFormat/>
    <w:rsid w:val="00D54BB0"/>
    <w:pPr>
      <w:spacing w:after="0" w:line="240" w:lineRule="auto"/>
      <w:jc w:val="center"/>
    </w:pPr>
    <w:rPr>
      <w:rFonts w:ascii="Times New Roman" w:eastAsia="Times New Roman" w:hAnsi="Times New Roman" w:cs="Times New Roman"/>
      <w:b/>
      <w:kern w:val="0"/>
      <w:sz w:val="20"/>
      <w:szCs w:val="20"/>
      <w14:ligatures w14:val="none"/>
    </w:rPr>
  </w:style>
  <w:style w:type="character" w:customStyle="1" w:styleId="TitleChar">
    <w:name w:val="Title Char"/>
    <w:basedOn w:val="DefaultParagraphFont"/>
    <w:link w:val="Title"/>
    <w:rsid w:val="00D54BB0"/>
    <w:rPr>
      <w:rFonts w:ascii="Times New Roman" w:eastAsia="Times New Roman" w:hAnsi="Times New Roman" w:cs="Times New Roman"/>
      <w:b/>
      <w:kern w:val="0"/>
      <w:sz w:val="20"/>
      <w:szCs w:val="20"/>
      <w14:ligatures w14:val="none"/>
    </w:rPr>
  </w:style>
  <w:style w:type="paragraph" w:styleId="Header">
    <w:name w:val="header"/>
    <w:basedOn w:val="Normal"/>
    <w:link w:val="HeaderChar"/>
    <w:uiPriority w:val="99"/>
    <w:unhideWhenUsed/>
    <w:rsid w:val="00D54BB0"/>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D54BB0"/>
    <w:rPr>
      <w:kern w:val="0"/>
      <w14:ligatures w14:val="none"/>
    </w:rPr>
  </w:style>
  <w:style w:type="character" w:styleId="PlaceholderText">
    <w:name w:val="Placeholder Text"/>
    <w:basedOn w:val="DefaultParagraphFont"/>
    <w:uiPriority w:val="99"/>
    <w:semiHidden/>
    <w:rsid w:val="00D54B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1686</Words>
  <Characters>8528</Characters>
  <Application>Microsoft Office Word</Application>
  <DocSecurity>0</DocSecurity>
  <Lines>355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dcterms:created xsi:type="dcterms:W3CDTF">2025-07-15T16:48:00Z</dcterms:created>
  <dcterms:modified xsi:type="dcterms:W3CDTF">2025-07-15T16:48:00Z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dc063921-7f1e-4a50-a194-4140254dd02f</vt:lpwstr>
  </property>
</Properties>
</file>