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30BF" w14:textId="7808941D" w:rsidR="002C61FB" w:rsidRPr="002C61FB" w:rsidRDefault="002C61FB" w:rsidP="002C61FB">
      <w:pPr>
        <w:pStyle w:val="Heading1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2C61FB">
        <w:rPr>
          <w:rFonts w:ascii="Gisha" w:hAnsi="Gisha" w:cs="Gisha" w:hint="cs"/>
          <w:sz w:val="28"/>
        </w:rPr>
        <w:t>Module: Mergers and Acquisitions and Corporate Restructuring</w:t>
      </w:r>
    </w:p>
    <w:p w14:paraId="682ECF87" w14:textId="2F81F343" w:rsidR="002C61FB" w:rsidRDefault="002C61FB" w:rsidP="002C61FB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75E12FB" w14:textId="77777777" w:rsidR="003E018D" w:rsidRPr="002C61FB" w:rsidRDefault="003E018D" w:rsidP="002C61FB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6DC5D29" w14:textId="77777777" w:rsidR="002C61FB" w:rsidRPr="006534B1" w:rsidRDefault="002C61FB" w:rsidP="002C61FB">
      <w:pPr>
        <w:pStyle w:val="Heading3"/>
        <w:spacing w:before="0" w:after="0" w:line="240" w:lineRule="auto"/>
        <w:rPr>
          <w:rFonts w:ascii="Gisha" w:hAnsi="Gisha" w:cs="Gisha"/>
        </w:rPr>
      </w:pPr>
      <w:r w:rsidRPr="006534B1">
        <w:rPr>
          <w:rFonts w:ascii="Gisha" w:hAnsi="Gisha" w:cs="Gisha" w:hint="cs"/>
        </w:rPr>
        <w:t>Topics</w:t>
      </w:r>
    </w:p>
    <w:p w14:paraId="2EEED60C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B965045" w14:textId="03C555E0" w:rsidR="002C61FB" w:rsidRPr="002C61FB" w:rsidRDefault="006224B9" w:rsidP="002C61FB">
      <w:pPr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2C61FB" w:rsidRPr="002C61FB">
        <w:rPr>
          <w:rFonts w:ascii="Gisha" w:hAnsi="Gisha" w:cs="Gisha" w:hint="cs"/>
          <w:sz w:val="24"/>
          <w:szCs w:val="24"/>
        </w:rPr>
        <w:t xml:space="preserve"> includes the following </w:t>
      </w:r>
      <w:r w:rsidR="0070583E">
        <w:rPr>
          <w:rFonts w:ascii="Gisha" w:hAnsi="Gisha" w:cs="Gisha"/>
          <w:sz w:val="24"/>
          <w:szCs w:val="24"/>
        </w:rPr>
        <w:t>eight</w:t>
      </w:r>
      <w:r w:rsidR="002C61FB" w:rsidRPr="002C61FB">
        <w:rPr>
          <w:rFonts w:ascii="Gisha" w:hAnsi="Gisha" w:cs="Gisha" w:hint="cs"/>
          <w:sz w:val="24"/>
          <w:szCs w:val="24"/>
        </w:rPr>
        <w:t xml:space="preserve"> topics:</w:t>
      </w:r>
      <w:r w:rsidR="002C61FB" w:rsidRPr="002C61FB">
        <w:rPr>
          <w:rFonts w:ascii="Gisha" w:hAnsi="Gisha" w:cs="Gisha" w:hint="cs"/>
          <w:sz w:val="24"/>
          <w:szCs w:val="24"/>
        </w:rPr>
        <w:tab/>
      </w:r>
    </w:p>
    <w:p w14:paraId="70922C99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C5D900" w14:textId="569BA942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1:  Rationale for M&amp;A</w:t>
      </w:r>
    </w:p>
    <w:p w14:paraId="6B22B2BC" w14:textId="2CB92FDB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2:  Types of M&amp;A</w:t>
      </w:r>
    </w:p>
    <w:p w14:paraId="2D2FB90E" w14:textId="576DA718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3:  Take-over Bids</w:t>
      </w:r>
    </w:p>
    <w:p w14:paraId="1ADB1126" w14:textId="24B028F3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4:  Take-over Defenses</w:t>
      </w:r>
    </w:p>
    <w:p w14:paraId="612DA815" w14:textId="151FB4F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5:  Calculating a Take-over Bid</w:t>
      </w:r>
    </w:p>
    <w:p w14:paraId="2F962032" w14:textId="40E0D988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6:  Evaluating the Division of Synergies</w:t>
      </w:r>
    </w:p>
    <w:p w14:paraId="2D5DED97" w14:textId="0D06102C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7:  Success of M&amp;A</w:t>
      </w:r>
    </w:p>
    <w:p w14:paraId="07708204" w14:textId="3CA732B0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Topic 8:  Other Forms of Corporate Restructuring</w:t>
      </w:r>
    </w:p>
    <w:p w14:paraId="6BBDB4BC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7CB6EEE" w14:textId="77777777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Topic 1: Rationale for M&amp;A</w:t>
      </w:r>
    </w:p>
    <w:p w14:paraId="026B8A30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2A1123A" w14:textId="77777777" w:rsidR="002C61FB" w:rsidRPr="002C61FB" w:rsidRDefault="002C61FB" w:rsidP="002C61FB">
      <w:pPr>
        <w:spacing w:before="0" w:after="0" w:line="240" w:lineRule="auto"/>
        <w:contextualSpacing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This topic discusses the reasons why companies should and should not engage in M&amp;A activity.</w:t>
      </w:r>
    </w:p>
    <w:p w14:paraId="28451D28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E7C4917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Readings</w:t>
      </w:r>
    </w:p>
    <w:p w14:paraId="010CF517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231F09" w14:textId="31EF19DD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1.1</w:t>
      </w:r>
    </w:p>
    <w:p w14:paraId="036A9881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B6951F3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02799CE4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0E84807E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None</w:t>
      </w:r>
    </w:p>
    <w:p w14:paraId="0A87FEF2" w14:textId="77777777" w:rsidR="002C61FB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C4214F5" w14:textId="3F285D17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Topic 2: Types of M&amp;A</w:t>
      </w:r>
    </w:p>
    <w:p w14:paraId="5E2AA171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4804CDC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This topic looks at the different types of M&amp;A and when they should be used.</w:t>
      </w:r>
    </w:p>
    <w:p w14:paraId="69116178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5AD538B8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40EDDBE9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01A5729" w14:textId="1695CCF3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1.2</w:t>
      </w:r>
    </w:p>
    <w:p w14:paraId="0D8E6763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B20E9E1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28B92554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1D9C33B" w14:textId="77777777" w:rsidR="002C61FB" w:rsidRPr="002C61FB" w:rsidRDefault="002C61FB" w:rsidP="002C61FB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2C61FB">
        <w:rPr>
          <w:rFonts w:ascii="Gisha" w:hAnsi="Gisha" w:cs="Gisha" w:hint="cs"/>
          <w:b w:val="0"/>
          <w:sz w:val="24"/>
          <w:szCs w:val="24"/>
        </w:rPr>
        <w:t>None</w:t>
      </w:r>
    </w:p>
    <w:p w14:paraId="0E39C79C" w14:textId="3F0C0E84" w:rsidR="002C61FB" w:rsidRDefault="002C61FB">
      <w:pPr>
        <w:spacing w:before="0" w:after="160" w:line="259" w:lineRule="auto"/>
        <w:rPr>
          <w:rFonts w:ascii="Gisha" w:eastAsia="Times New Roman" w:hAnsi="Gisha" w:cs="Gisha"/>
          <w:b/>
          <w:color w:val="000000"/>
          <w:kern w:val="32"/>
          <w:sz w:val="24"/>
          <w:szCs w:val="24"/>
        </w:rPr>
      </w:pPr>
    </w:p>
    <w:p w14:paraId="2856A5CC" w14:textId="77777777" w:rsidR="003E018D" w:rsidRDefault="003E018D">
      <w:pPr>
        <w:spacing w:before="0" w:after="160" w:line="259" w:lineRule="auto"/>
        <w:rPr>
          <w:rFonts w:ascii="Gisha" w:eastAsia="Times New Roman" w:hAnsi="Gisha" w:cs="Gisha"/>
          <w:b/>
          <w:color w:val="000000"/>
          <w:kern w:val="32"/>
          <w:sz w:val="28"/>
          <w:szCs w:val="28"/>
        </w:rPr>
      </w:pPr>
      <w:r>
        <w:rPr>
          <w:rFonts w:ascii="Gisha" w:hAnsi="Gisha" w:cs="Gisha"/>
          <w:sz w:val="28"/>
          <w:szCs w:val="28"/>
        </w:rPr>
        <w:br w:type="page"/>
      </w:r>
    </w:p>
    <w:p w14:paraId="0727EAF9" w14:textId="4C95C295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lastRenderedPageBreak/>
        <w:t>Topic 3: Take-over Bid</w:t>
      </w:r>
    </w:p>
    <w:p w14:paraId="64DE32E5" w14:textId="77777777" w:rsidR="002C61FB" w:rsidRPr="002C61FB" w:rsidRDefault="002C61FB" w:rsidP="002C61FB">
      <w:pPr>
        <w:spacing w:before="0" w:after="0" w:line="240" w:lineRule="auto"/>
      </w:pPr>
    </w:p>
    <w:p w14:paraId="25319487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eastAsiaTheme="majorEastAsia" w:hAnsi="Gisha" w:cs="Gisha" w:hint="cs"/>
          <w:bCs/>
          <w:sz w:val="24"/>
          <w:szCs w:val="24"/>
        </w:rPr>
        <w:t xml:space="preserve">This topic describes the importance of take-overs to the economy and the bidding process offerors must follow to protect investors’ interests. </w:t>
      </w:r>
    </w:p>
    <w:p w14:paraId="7A1BC3C0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6318C3F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05DE0B28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5EAED6" w14:textId="54D18171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1.3</w:t>
      </w:r>
    </w:p>
    <w:p w14:paraId="75660F25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760029D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69512AC2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E239A1" w14:textId="77777777" w:rsidR="002C61FB" w:rsidRPr="002C61FB" w:rsidRDefault="002C61FB" w:rsidP="002C61FB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2C61FB">
        <w:rPr>
          <w:rFonts w:ascii="Gisha" w:hAnsi="Gisha" w:cs="Gisha" w:hint="cs"/>
          <w:b w:val="0"/>
          <w:sz w:val="24"/>
          <w:szCs w:val="24"/>
        </w:rPr>
        <w:t>None</w:t>
      </w:r>
    </w:p>
    <w:p w14:paraId="26C9B792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3942CF7" w14:textId="77777777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Topic 4: Take-over Defenses</w:t>
      </w:r>
    </w:p>
    <w:p w14:paraId="068DB9CE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61DBE8D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This topic describes the take-over defenses that management can use to protect companies from unwanted offerors or to increase their take-over bids.</w:t>
      </w:r>
    </w:p>
    <w:p w14:paraId="3E23C8DE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DDDB57A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3D87F870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452C8EA" w14:textId="63D313F9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1.4</w:t>
      </w:r>
    </w:p>
    <w:p w14:paraId="16F285E3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B280D16" w14:textId="14305B3E" w:rsidR="002C61FB" w:rsidRPr="002C61FB" w:rsidRDefault="002C61FB" w:rsidP="002C61FB">
      <w:pPr>
        <w:keepNext/>
        <w:keepLines/>
        <w:spacing w:before="0" w:after="0" w:line="240" w:lineRule="auto"/>
        <w:outlineLvl w:val="3"/>
        <w:rPr>
          <w:rFonts w:ascii="Gisha" w:eastAsiaTheme="majorEastAsia" w:hAnsi="Gisha" w:cs="Gisha"/>
          <w:b/>
          <w:bCs/>
          <w:iCs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sz w:val="24"/>
          <w:szCs w:val="24"/>
        </w:rPr>
        <w:t xml:space="preserve">Learning Problems </w:t>
      </w:r>
    </w:p>
    <w:p w14:paraId="52D83090" w14:textId="77777777" w:rsidR="002C61FB" w:rsidRDefault="002C61FB" w:rsidP="002C61FB">
      <w:pPr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0A8AD4B8" w14:textId="33B21B90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Identifying Take-over Defenses</w:t>
      </w:r>
    </w:p>
    <w:p w14:paraId="0B0F5483" w14:textId="77777777" w:rsidR="002C61FB" w:rsidRPr="002C61FB" w:rsidRDefault="002C61FB" w:rsidP="002C61FB">
      <w:pPr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6629EBDF" w14:textId="111B4195" w:rsidR="002C61FB" w:rsidRPr="002C61FB" w:rsidRDefault="002C61FB" w:rsidP="002C61FB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2C61FB">
        <w:rPr>
          <w:rFonts w:ascii="Gisha" w:hAnsi="Gisha" w:cs="Gisha" w:hint="cs"/>
          <w:b/>
          <w:sz w:val="24"/>
          <w:szCs w:val="24"/>
        </w:rPr>
        <w:t>Answer Keys</w:t>
      </w:r>
    </w:p>
    <w:p w14:paraId="0BA5DDDE" w14:textId="77777777" w:rsidR="002C61FB" w:rsidRDefault="002C61FB" w:rsidP="002C61FB">
      <w:pPr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714AB262" w14:textId="4ACBE891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Identifying Take-over Defenses</w:t>
      </w:r>
    </w:p>
    <w:p w14:paraId="59AA5AC7" w14:textId="77777777" w:rsidR="002C61FB" w:rsidRPr="002C61FB" w:rsidRDefault="002C61FB" w:rsidP="002C61FB">
      <w:pPr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776963D3" w14:textId="77777777" w:rsidR="002C61FB" w:rsidRPr="006534B1" w:rsidRDefault="002C61FB" w:rsidP="002C61FB">
      <w:pPr>
        <w:keepNext/>
        <w:keepLines/>
        <w:spacing w:before="0" w:after="0" w:line="240" w:lineRule="auto"/>
        <w:outlineLvl w:val="1"/>
        <w:rPr>
          <w:rFonts w:ascii="Gisha" w:eastAsiaTheme="majorEastAsia" w:hAnsi="Gisha" w:cs="Gisha"/>
          <w:b/>
          <w:bCs/>
          <w:sz w:val="28"/>
          <w:szCs w:val="28"/>
        </w:rPr>
      </w:pPr>
      <w:r w:rsidRPr="006534B1">
        <w:rPr>
          <w:rFonts w:ascii="Gisha" w:eastAsiaTheme="majorEastAsia" w:hAnsi="Gisha" w:cs="Gisha" w:hint="cs"/>
          <w:b/>
          <w:bCs/>
          <w:sz w:val="28"/>
          <w:szCs w:val="28"/>
        </w:rPr>
        <w:t>Topic 5: Calculating a Take-over Bid</w:t>
      </w:r>
    </w:p>
    <w:p w14:paraId="21278632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0453FF6A" w14:textId="5203172D" w:rsidR="002C61FB" w:rsidRPr="002C61FB" w:rsidRDefault="003E018D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</w:t>
      </w:r>
      <w:r w:rsidR="002C61FB" w:rsidRPr="002C61FB">
        <w:rPr>
          <w:rFonts w:ascii="Gisha" w:hAnsi="Gisha" w:cs="Gisha" w:hint="cs"/>
          <w:sz w:val="24"/>
          <w:szCs w:val="24"/>
        </w:rPr>
        <w:t>his topic</w:t>
      </w:r>
      <w:r>
        <w:rPr>
          <w:rFonts w:ascii="Gisha" w:hAnsi="Gisha" w:cs="Gisha"/>
          <w:sz w:val="24"/>
          <w:szCs w:val="24"/>
        </w:rPr>
        <w:t xml:space="preserve"> examines how to </w:t>
      </w:r>
      <w:r w:rsidR="002C61FB" w:rsidRPr="002C61FB">
        <w:rPr>
          <w:rFonts w:ascii="Gisha" w:hAnsi="Gisha" w:cs="Gisha" w:hint="cs"/>
          <w:sz w:val="24"/>
          <w:szCs w:val="24"/>
        </w:rPr>
        <w:t xml:space="preserve">calculate a take-over bid using either the discounted cash flows or market multiple models.  </w:t>
      </w:r>
    </w:p>
    <w:p w14:paraId="257A316B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5BC69A47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6D198FC6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8AD940C" w14:textId="1E2915D8" w:rsid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1.5</w:t>
      </w:r>
    </w:p>
    <w:p w14:paraId="2937BB6A" w14:textId="77777777" w:rsidR="003E018D" w:rsidRPr="002C61FB" w:rsidRDefault="003E018D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696DA85F" w14:textId="41229BDC" w:rsidR="002C61FB" w:rsidRPr="002C61FB" w:rsidRDefault="002C61FB" w:rsidP="002C61FB">
      <w:pPr>
        <w:pStyle w:val="Heading4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2C61FB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2EE13AD3" w14:textId="77777777" w:rsidR="002C61FB" w:rsidRPr="002C61FB" w:rsidRDefault="002C61FB" w:rsidP="002C61FB">
      <w:pPr>
        <w:pStyle w:val="Heading4"/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119A833A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Take-over Bid Calculation at Predator</w:t>
      </w:r>
    </w:p>
    <w:p w14:paraId="6FA901FD" w14:textId="1F234A85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</w:t>
      </w:r>
      <w:r w:rsidR="003E018D">
        <w:rPr>
          <w:rFonts w:ascii="Gisha" w:hAnsi="Gisha" w:cs="Gisha"/>
          <w:sz w:val="24"/>
          <w:szCs w:val="24"/>
        </w:rPr>
        <w:t>-</w:t>
      </w:r>
      <w:r w:rsidRPr="002C61FB">
        <w:rPr>
          <w:rFonts w:ascii="Gisha" w:hAnsi="Gisha" w:cs="Gisha" w:hint="cs"/>
          <w:sz w:val="24"/>
          <w:szCs w:val="24"/>
        </w:rPr>
        <w:t>over Bid Calculation at Vicious</w:t>
      </w:r>
    </w:p>
    <w:p w14:paraId="41BE3069" w14:textId="27EE87C4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</w:t>
      </w:r>
      <w:r w:rsidR="003E018D">
        <w:rPr>
          <w:rFonts w:ascii="Gisha" w:hAnsi="Gisha" w:cs="Gisha"/>
          <w:sz w:val="24"/>
          <w:szCs w:val="24"/>
        </w:rPr>
        <w:t>-</w:t>
      </w:r>
      <w:r w:rsidRPr="002C61FB">
        <w:rPr>
          <w:rFonts w:ascii="Gisha" w:hAnsi="Gisha" w:cs="Gisha" w:hint="cs"/>
          <w:sz w:val="24"/>
          <w:szCs w:val="24"/>
        </w:rPr>
        <w:t>over Bid Calculation at Terrible</w:t>
      </w:r>
    </w:p>
    <w:p w14:paraId="3853FC65" w14:textId="04DB2D91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lastRenderedPageBreak/>
        <w:t>Take</w:t>
      </w:r>
      <w:r w:rsidR="003E018D">
        <w:rPr>
          <w:rFonts w:ascii="Gisha" w:hAnsi="Gisha" w:cs="Gisha"/>
          <w:sz w:val="24"/>
          <w:szCs w:val="24"/>
        </w:rPr>
        <w:t>-</w:t>
      </w:r>
      <w:r w:rsidRPr="002C61FB">
        <w:rPr>
          <w:rFonts w:ascii="Gisha" w:hAnsi="Gisha" w:cs="Gisha" w:hint="cs"/>
          <w:sz w:val="24"/>
          <w:szCs w:val="24"/>
        </w:rPr>
        <w:t>over Bid Calculation at Tough Guy</w:t>
      </w:r>
    </w:p>
    <w:p w14:paraId="090676C7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Take-over Bid Calculation at Hastings</w:t>
      </w:r>
    </w:p>
    <w:p w14:paraId="580759BA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Using Comparable Companies and Transactions</w:t>
      </w:r>
    </w:p>
    <w:p w14:paraId="2D0A1F92" w14:textId="77777777" w:rsidR="002C61FB" w:rsidRPr="002C61FB" w:rsidRDefault="002C61FB" w:rsidP="002C61FB">
      <w:pPr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7869E633" w14:textId="6736DEBE" w:rsidR="002C61FB" w:rsidRPr="002C61FB" w:rsidRDefault="002C61FB" w:rsidP="002C61FB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2C61FB">
        <w:rPr>
          <w:rFonts w:ascii="Gisha" w:hAnsi="Gisha" w:cs="Gisha" w:hint="cs"/>
          <w:b/>
          <w:sz w:val="24"/>
          <w:szCs w:val="24"/>
        </w:rPr>
        <w:t>Answer Keys</w:t>
      </w:r>
    </w:p>
    <w:p w14:paraId="11B11B48" w14:textId="77777777" w:rsidR="002C61FB" w:rsidRPr="002C61FB" w:rsidRDefault="002C61FB" w:rsidP="002C61FB">
      <w:pPr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52704A3C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Take-over Bid Calculation at Predator</w:t>
      </w:r>
    </w:p>
    <w:p w14:paraId="38DCB8AA" w14:textId="676FD2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</w:t>
      </w:r>
      <w:r w:rsidR="003E018D">
        <w:rPr>
          <w:rFonts w:ascii="Gisha" w:hAnsi="Gisha" w:cs="Gisha"/>
          <w:sz w:val="24"/>
          <w:szCs w:val="24"/>
        </w:rPr>
        <w:t>-</w:t>
      </w:r>
      <w:r w:rsidRPr="002C61FB">
        <w:rPr>
          <w:rFonts w:ascii="Gisha" w:hAnsi="Gisha" w:cs="Gisha" w:hint="cs"/>
          <w:sz w:val="24"/>
          <w:szCs w:val="24"/>
        </w:rPr>
        <w:t>over Bid Calculation at Vicious</w:t>
      </w:r>
    </w:p>
    <w:p w14:paraId="06A51592" w14:textId="47EA0150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</w:t>
      </w:r>
      <w:r w:rsidR="003E018D">
        <w:rPr>
          <w:rFonts w:ascii="Gisha" w:hAnsi="Gisha" w:cs="Gisha"/>
          <w:sz w:val="24"/>
          <w:szCs w:val="24"/>
        </w:rPr>
        <w:t>-</w:t>
      </w:r>
      <w:r w:rsidRPr="002C61FB">
        <w:rPr>
          <w:rFonts w:ascii="Gisha" w:hAnsi="Gisha" w:cs="Gisha" w:hint="cs"/>
          <w:sz w:val="24"/>
          <w:szCs w:val="24"/>
        </w:rPr>
        <w:t>over Bid Calculation at Terrible</w:t>
      </w:r>
    </w:p>
    <w:p w14:paraId="06394448" w14:textId="77412AFB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</w:t>
      </w:r>
      <w:r w:rsidR="003E018D">
        <w:rPr>
          <w:rFonts w:ascii="Gisha" w:hAnsi="Gisha" w:cs="Gisha"/>
          <w:sz w:val="24"/>
          <w:szCs w:val="24"/>
        </w:rPr>
        <w:t>-</w:t>
      </w:r>
      <w:r w:rsidRPr="002C61FB">
        <w:rPr>
          <w:rFonts w:ascii="Gisha" w:hAnsi="Gisha" w:cs="Gisha" w:hint="cs"/>
          <w:sz w:val="24"/>
          <w:szCs w:val="24"/>
        </w:rPr>
        <w:t>over Bid Calculation at Tough Guy</w:t>
      </w:r>
    </w:p>
    <w:p w14:paraId="5DFD2125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Take-over Bid Calculation at Hastings</w:t>
      </w:r>
    </w:p>
    <w:p w14:paraId="52ED81F9" w14:textId="7777777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Using Comparable Companies and Transactions</w:t>
      </w:r>
    </w:p>
    <w:p w14:paraId="7CA01F1F" w14:textId="77777777" w:rsidR="002C61FB" w:rsidRPr="002C61FB" w:rsidRDefault="002C61FB" w:rsidP="002C61FB">
      <w:pPr>
        <w:tabs>
          <w:tab w:val="left" w:pos="0"/>
        </w:tabs>
        <w:spacing w:before="0" w:after="0" w:line="240" w:lineRule="auto"/>
        <w:textAlignment w:val="baseline"/>
        <w:rPr>
          <w:rFonts w:ascii="Gisha" w:eastAsia="Times New Roman" w:hAnsi="Gisha" w:cs="Gisha"/>
          <w:b/>
          <w:sz w:val="24"/>
          <w:szCs w:val="24"/>
        </w:rPr>
      </w:pPr>
    </w:p>
    <w:p w14:paraId="25D6D728" w14:textId="77777777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Topic 6: Evaluating the Division of Synergies</w:t>
      </w:r>
    </w:p>
    <w:p w14:paraId="3E08ECC7" w14:textId="77777777" w:rsidR="002C61FB" w:rsidRPr="002C61FB" w:rsidRDefault="002C61FB" w:rsidP="002C61FB">
      <w:pPr>
        <w:spacing w:before="0" w:after="0" w:line="240" w:lineRule="auto"/>
        <w:rPr>
          <w:rFonts w:ascii="Gisha" w:eastAsiaTheme="majorEastAsia" w:hAnsi="Gisha" w:cs="Gisha"/>
          <w:bCs/>
          <w:sz w:val="24"/>
          <w:szCs w:val="24"/>
        </w:rPr>
      </w:pPr>
    </w:p>
    <w:p w14:paraId="77706090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eastAsiaTheme="majorEastAsia" w:hAnsi="Gisha" w:cs="Gisha" w:hint="cs"/>
          <w:bCs/>
          <w:sz w:val="24"/>
          <w:szCs w:val="24"/>
        </w:rPr>
        <w:t>This topic describes how to evaluate the division of synergies in an M&amp;A between the acquiring firm and the target company.</w:t>
      </w:r>
    </w:p>
    <w:p w14:paraId="2D355F16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738DA2AF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1BA70FA8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3107213" w14:textId="18ACEFD7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1.6</w:t>
      </w:r>
    </w:p>
    <w:p w14:paraId="58F53F22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383DB7C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0487FF9D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065DC29" w14:textId="77777777" w:rsidR="002C61FB" w:rsidRPr="002C61FB" w:rsidRDefault="002C61FB" w:rsidP="002C61FB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2C61FB">
        <w:rPr>
          <w:rFonts w:ascii="Gisha" w:hAnsi="Gisha" w:cs="Gisha" w:hint="cs"/>
          <w:b w:val="0"/>
          <w:sz w:val="24"/>
          <w:szCs w:val="24"/>
        </w:rPr>
        <w:t>None</w:t>
      </w:r>
    </w:p>
    <w:p w14:paraId="0EBBFE98" w14:textId="77777777" w:rsidR="002C61FB" w:rsidRPr="002C61FB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D22BDB2" w14:textId="77777777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Topic 7: Success of M&amp;A</w:t>
      </w:r>
    </w:p>
    <w:p w14:paraId="18D44383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F4D48FC" w14:textId="709BDC32" w:rsidR="006534B1" w:rsidRDefault="002C61FB" w:rsidP="003E018D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This topic investigates the financial success of M&amp;A from the perspective of both the offeror and target companies.</w:t>
      </w:r>
    </w:p>
    <w:p w14:paraId="265B4ECB" w14:textId="77777777" w:rsidR="003E018D" w:rsidRPr="003E018D" w:rsidRDefault="003E018D" w:rsidP="003E018D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B599742" w14:textId="2EC5A4BA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770C9D9C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A075352" w14:textId="1CB16AFE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 1.7</w:t>
      </w:r>
    </w:p>
    <w:p w14:paraId="46144F20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42C4C67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Learning Problems</w:t>
      </w:r>
    </w:p>
    <w:p w14:paraId="027BD3BA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37644E9" w14:textId="77777777" w:rsidR="002C61FB" w:rsidRPr="002C61FB" w:rsidRDefault="002C61FB" w:rsidP="002C61FB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2C61FB">
        <w:rPr>
          <w:rFonts w:ascii="Gisha" w:hAnsi="Gisha" w:cs="Gisha" w:hint="cs"/>
          <w:b w:val="0"/>
          <w:sz w:val="24"/>
          <w:szCs w:val="24"/>
        </w:rPr>
        <w:t>None</w:t>
      </w:r>
    </w:p>
    <w:p w14:paraId="4B3E7D48" w14:textId="77777777" w:rsidR="002C61FB" w:rsidRPr="002C61FB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590D72" w14:textId="77777777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Topic 8: Other Forms of Corporate Restructuring</w:t>
      </w:r>
    </w:p>
    <w:p w14:paraId="6E65A388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C3F7F6F" w14:textId="19941E26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 xml:space="preserve">This topic examines the advantages </w:t>
      </w:r>
      <w:r w:rsidR="003E018D">
        <w:rPr>
          <w:rFonts w:ascii="Gisha" w:hAnsi="Gisha" w:cs="Gisha"/>
          <w:sz w:val="24"/>
          <w:szCs w:val="24"/>
        </w:rPr>
        <w:t xml:space="preserve">of </w:t>
      </w:r>
      <w:r w:rsidRPr="002C61FB">
        <w:rPr>
          <w:rFonts w:ascii="Gisha" w:hAnsi="Gisha" w:cs="Gisha" w:hint="cs"/>
          <w:sz w:val="24"/>
          <w:szCs w:val="24"/>
        </w:rPr>
        <w:t>other forms of corporate restructuring including divestitures, spin-offs, split-outs, split-ups, and tracking shares.</w:t>
      </w:r>
    </w:p>
    <w:p w14:paraId="3B0895DF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536A6FF7" w14:textId="77777777" w:rsidR="002C61FB" w:rsidRPr="002C61FB" w:rsidRDefault="002C61FB" w:rsidP="002C61FB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35563C69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8584E47" w14:textId="1021713D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>Sections 1.8 and 1.9</w:t>
      </w:r>
    </w:p>
    <w:p w14:paraId="7EBFD43A" w14:textId="77777777" w:rsidR="002C61FB" w:rsidRPr="002C61FB" w:rsidRDefault="002C61FB" w:rsidP="002C61FB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84A5161" w14:textId="02CDFA31" w:rsidR="002C61FB" w:rsidRPr="002C61FB" w:rsidRDefault="002C61FB" w:rsidP="002C61FB">
      <w:pPr>
        <w:keepNext/>
        <w:keepLines/>
        <w:spacing w:before="0" w:after="0" w:line="240" w:lineRule="auto"/>
        <w:outlineLvl w:val="3"/>
        <w:rPr>
          <w:rFonts w:ascii="Gisha" w:eastAsiaTheme="majorEastAsia" w:hAnsi="Gisha" w:cs="Gisha"/>
          <w:b/>
          <w:bCs/>
          <w:iCs/>
          <w:sz w:val="24"/>
          <w:szCs w:val="24"/>
        </w:rPr>
      </w:pPr>
      <w:r w:rsidRPr="002C61FB">
        <w:rPr>
          <w:rFonts w:ascii="Gisha" w:eastAsiaTheme="majorEastAsia" w:hAnsi="Gisha" w:cs="Gisha" w:hint="cs"/>
          <w:b/>
          <w:sz w:val="24"/>
          <w:szCs w:val="24"/>
        </w:rPr>
        <w:t xml:space="preserve">Learning Problems </w:t>
      </w:r>
    </w:p>
    <w:p w14:paraId="4E05B940" w14:textId="77777777" w:rsidR="002C61FB" w:rsidRDefault="002C61FB" w:rsidP="002C61FB">
      <w:pPr>
        <w:spacing w:before="0" w:after="0" w:line="240" w:lineRule="auto"/>
        <w:ind w:firstLine="720"/>
        <w:rPr>
          <w:rFonts w:ascii="Gisha" w:eastAsia="Times New Roman" w:hAnsi="Gisha" w:cs="Gisha"/>
          <w:sz w:val="24"/>
          <w:szCs w:val="24"/>
        </w:rPr>
      </w:pPr>
    </w:p>
    <w:p w14:paraId="3620D6D2" w14:textId="5AF18F42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eastAsia="Times New Roman" w:hAnsi="Gisha" w:cs="Gisha" w:hint="cs"/>
          <w:sz w:val="24"/>
          <w:szCs w:val="24"/>
        </w:rPr>
        <w:t>Appropriate Corporate Restructuring Measures</w:t>
      </w:r>
    </w:p>
    <w:p w14:paraId="24DE154D" w14:textId="77777777" w:rsidR="002C61FB" w:rsidRPr="002C61FB" w:rsidRDefault="002C61FB" w:rsidP="002C61FB">
      <w:pPr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76E3EABC" w14:textId="12012400" w:rsidR="002C61FB" w:rsidRPr="002C61FB" w:rsidRDefault="002C61FB" w:rsidP="002C61FB">
      <w:pPr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2C61FB">
        <w:rPr>
          <w:rFonts w:ascii="Gisha" w:hAnsi="Gisha" w:cs="Gisha" w:hint="cs"/>
          <w:b/>
          <w:sz w:val="24"/>
          <w:szCs w:val="24"/>
        </w:rPr>
        <w:t>Answer Keys</w:t>
      </w:r>
    </w:p>
    <w:p w14:paraId="4B47040F" w14:textId="77777777" w:rsidR="002C61FB" w:rsidRDefault="002C61FB" w:rsidP="002C61FB">
      <w:pPr>
        <w:spacing w:before="0" w:after="0" w:line="240" w:lineRule="auto"/>
        <w:ind w:firstLine="720"/>
        <w:rPr>
          <w:rFonts w:ascii="Gisha" w:eastAsia="Times New Roman" w:hAnsi="Gisha" w:cs="Gisha"/>
          <w:sz w:val="24"/>
          <w:szCs w:val="24"/>
        </w:rPr>
      </w:pPr>
    </w:p>
    <w:p w14:paraId="20B11E3E" w14:textId="5AA893EF" w:rsidR="002C61FB" w:rsidRPr="002C61FB" w:rsidRDefault="002C61FB" w:rsidP="002C61FB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C61FB">
        <w:rPr>
          <w:rFonts w:ascii="Gisha" w:eastAsia="Times New Roman" w:hAnsi="Gisha" w:cs="Gisha" w:hint="cs"/>
          <w:sz w:val="24"/>
          <w:szCs w:val="24"/>
        </w:rPr>
        <w:t>Appropriate Corporate Restructuring Measures</w:t>
      </w:r>
    </w:p>
    <w:p w14:paraId="45E1F263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81C8CD8" w14:textId="6170DAB9" w:rsidR="002C61FB" w:rsidRPr="006534B1" w:rsidRDefault="002C61FB" w:rsidP="002C61FB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6534B1">
        <w:rPr>
          <w:rFonts w:ascii="Gisha" w:hAnsi="Gisha" w:cs="Gisha" w:hint="cs"/>
          <w:sz w:val="28"/>
          <w:szCs w:val="28"/>
        </w:rPr>
        <w:t>Module Summary</w:t>
      </w:r>
    </w:p>
    <w:p w14:paraId="4A53FBE1" w14:textId="77777777" w:rsidR="002C61FB" w:rsidRPr="002C61FB" w:rsidRDefault="002C61FB" w:rsidP="002C61FB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12688088" w:rsidR="00B4452B" w:rsidRPr="002C61FB" w:rsidRDefault="002C61FB" w:rsidP="00634EC0">
      <w:pPr>
        <w:spacing w:before="0" w:after="0" w:line="240" w:lineRule="auto"/>
        <w:ind w:right="-270"/>
        <w:rPr>
          <w:rFonts w:ascii="Gisha" w:hAnsi="Gisha" w:cs="Gisha"/>
          <w:sz w:val="24"/>
          <w:szCs w:val="24"/>
        </w:rPr>
      </w:pPr>
      <w:r w:rsidRPr="002C61FB">
        <w:rPr>
          <w:rFonts w:ascii="Gisha" w:hAnsi="Gisha" w:cs="Gisha" w:hint="cs"/>
          <w:sz w:val="24"/>
          <w:szCs w:val="24"/>
        </w:rPr>
        <w:t xml:space="preserve">In this module, you </w:t>
      </w:r>
      <w:r w:rsidR="003E018D">
        <w:rPr>
          <w:rFonts w:ascii="Gisha" w:hAnsi="Gisha" w:cs="Gisha"/>
          <w:sz w:val="24"/>
          <w:szCs w:val="24"/>
        </w:rPr>
        <w:t xml:space="preserve">learned about </w:t>
      </w:r>
      <w:r w:rsidRPr="002C61FB">
        <w:rPr>
          <w:rFonts w:ascii="Gisha" w:hAnsi="Gisha" w:cs="Gisha" w:hint="cs"/>
          <w:sz w:val="24"/>
          <w:szCs w:val="24"/>
        </w:rPr>
        <w:t>the rationale for different forms of corporate restructuring focusing on M&amp;A; how offerors calculate and implement a successful take-over bid; the actions target companies take to protect themselves from unwanted take-overs or to raise the take-over bid; and the success of M&amp;A for both acquiring and target firms.</w:t>
      </w:r>
    </w:p>
    <w:p w14:paraId="1FD63061" w14:textId="77777777" w:rsidR="006534B1" w:rsidRPr="002C61FB" w:rsidRDefault="006534B1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sectPr w:rsidR="006534B1" w:rsidRPr="002C61FB" w:rsidSect="003E018D">
      <w:footerReference w:type="even" r:id="rId7"/>
      <w:footerReference w:type="default" r:id="rId8"/>
      <w:pgSz w:w="12240" w:h="15840"/>
      <w:pgMar w:top="1440" w:right="126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E0D7" w14:textId="77777777" w:rsidR="005D3B49" w:rsidRDefault="005D3B49" w:rsidP="00C66C73">
      <w:pPr>
        <w:spacing w:before="0" w:after="0" w:line="240" w:lineRule="auto"/>
      </w:pPr>
      <w:r>
        <w:separator/>
      </w:r>
    </w:p>
  </w:endnote>
  <w:endnote w:type="continuationSeparator" w:id="0">
    <w:p w14:paraId="3A17CA7A" w14:textId="77777777" w:rsidR="005D3B49" w:rsidRDefault="005D3B49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534B1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5D3B49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33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92A8E" w14:textId="77777777" w:rsidR="005D3B49" w:rsidRDefault="005D3B49" w:rsidP="00C66C73">
      <w:pPr>
        <w:spacing w:before="0" w:after="0" w:line="240" w:lineRule="auto"/>
      </w:pPr>
      <w:r>
        <w:separator/>
      </w:r>
    </w:p>
  </w:footnote>
  <w:footnote w:type="continuationSeparator" w:id="0">
    <w:p w14:paraId="51D05529" w14:textId="77777777" w:rsidR="005D3B49" w:rsidRDefault="005D3B49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FE4"/>
    <w:multiLevelType w:val="multilevel"/>
    <w:tmpl w:val="9BA8F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B11"/>
    <w:multiLevelType w:val="hybridMultilevel"/>
    <w:tmpl w:val="5BE24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8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23"/>
  </w:num>
  <w:num w:numId="13">
    <w:abstractNumId w:val="13"/>
  </w:num>
  <w:num w:numId="14">
    <w:abstractNumId w:val="2"/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22"/>
  </w:num>
  <w:num w:numId="20">
    <w:abstractNumId w:val="8"/>
  </w:num>
  <w:num w:numId="21">
    <w:abstractNumId w:val="20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tDC0NDC2tDAxN7RU0lEKTi0uzszPAykwrAUAhViLMiwAAAA="/>
  </w:docVars>
  <w:rsids>
    <w:rsidRoot w:val="00C66C73"/>
    <w:rsid w:val="00187ADF"/>
    <w:rsid w:val="001A61FD"/>
    <w:rsid w:val="001C6FD6"/>
    <w:rsid w:val="00251293"/>
    <w:rsid w:val="002761C5"/>
    <w:rsid w:val="0028524C"/>
    <w:rsid w:val="002C61FB"/>
    <w:rsid w:val="00382282"/>
    <w:rsid w:val="003B2992"/>
    <w:rsid w:val="003E018D"/>
    <w:rsid w:val="003E1F71"/>
    <w:rsid w:val="003F4580"/>
    <w:rsid w:val="004B396D"/>
    <w:rsid w:val="004D796E"/>
    <w:rsid w:val="0053746B"/>
    <w:rsid w:val="005D3B49"/>
    <w:rsid w:val="006224B9"/>
    <w:rsid w:val="00634EC0"/>
    <w:rsid w:val="006534B1"/>
    <w:rsid w:val="0068194C"/>
    <w:rsid w:val="00697ED7"/>
    <w:rsid w:val="0070583E"/>
    <w:rsid w:val="008215CA"/>
    <w:rsid w:val="008666AB"/>
    <w:rsid w:val="008B794F"/>
    <w:rsid w:val="009748D6"/>
    <w:rsid w:val="00984166"/>
    <w:rsid w:val="00A04DAB"/>
    <w:rsid w:val="00A625E6"/>
    <w:rsid w:val="00B230CD"/>
    <w:rsid w:val="00B4452B"/>
    <w:rsid w:val="00B52497"/>
    <w:rsid w:val="00B814D3"/>
    <w:rsid w:val="00B84060"/>
    <w:rsid w:val="00C213E3"/>
    <w:rsid w:val="00C47BBD"/>
    <w:rsid w:val="00C66C73"/>
    <w:rsid w:val="00C776AD"/>
    <w:rsid w:val="00D34771"/>
    <w:rsid w:val="00D7607C"/>
    <w:rsid w:val="00E7242D"/>
    <w:rsid w:val="00EB18D1"/>
    <w:rsid w:val="00F1336D"/>
    <w:rsid w:val="00F4463F"/>
    <w:rsid w:val="00F57A7B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8</cp:revision>
  <cp:lastPrinted>2020-08-31T18:28:00Z</cp:lastPrinted>
  <dcterms:created xsi:type="dcterms:W3CDTF">2020-09-01T14:47:00Z</dcterms:created>
  <dcterms:modified xsi:type="dcterms:W3CDTF">2021-02-15T21:41:00Z</dcterms:modified>
</cp:coreProperties>
</file>